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CB020B">
      <w:pPr>
        <w:pStyle w:val="8"/>
        <w:widowControl/>
        <w:spacing w:line="600" w:lineRule="exact"/>
        <w:jc w:val="center"/>
        <w:rPr>
          <w:rFonts w:hint="eastAsia" w:ascii="仿宋" w:hAnsi="仿宋" w:eastAsia="仿宋" w:cs="仿宋"/>
          <w:b/>
          <w:bCs/>
          <w:kern w:val="0"/>
          <w:sz w:val="44"/>
          <w:szCs w:val="44"/>
          <w:lang w:val="en-US" w:eastAsia="zh-CN" w:bidi="ar-SA"/>
        </w:rPr>
      </w:pPr>
      <w:bookmarkStart w:id="0" w:name="_Toc46308684"/>
      <w:bookmarkStart w:id="1" w:name="_Toc46308528"/>
      <w:bookmarkStart w:id="2" w:name="_Toc37581421"/>
      <w:bookmarkStart w:id="3" w:name="_Toc37569520"/>
      <w:bookmarkStart w:id="4" w:name="_Toc37663392"/>
      <w:bookmarkStart w:id="5" w:name="_Toc37331039"/>
      <w:bookmarkStart w:id="6" w:name="_Toc37245277"/>
      <w:bookmarkStart w:id="7" w:name="_Toc37331081"/>
      <w:bookmarkStart w:id="8" w:name="_Toc40762371"/>
      <w:r>
        <w:rPr>
          <w:rFonts w:hint="eastAsia" w:ascii="仿宋" w:hAnsi="仿宋" w:eastAsia="仿宋" w:cs="仿宋"/>
          <w:b/>
          <w:bCs/>
          <w:kern w:val="0"/>
          <w:sz w:val="44"/>
          <w:szCs w:val="44"/>
          <w:lang w:val="en-US" w:eastAsia="zh-CN" w:bidi="ar-SA"/>
        </w:rPr>
        <w:t>“山河归鉴：张伯驹潘素艺术文献暨书画作品展”（暂定名）平面及展陈设计</w:t>
      </w:r>
    </w:p>
    <w:p w14:paraId="299C6ECB">
      <w:pPr>
        <w:pStyle w:val="8"/>
        <w:widowControl/>
        <w:spacing w:line="600" w:lineRule="exact"/>
        <w:jc w:val="center"/>
        <w:rPr>
          <w:rFonts w:hint="default" w:ascii="方正小标宋简体" w:hAnsi="方正小标宋简体" w:eastAsia="方正小标宋简体" w:cs="方正小标宋简体"/>
          <w:b/>
          <w:bCs/>
          <w:sz w:val="44"/>
          <w:szCs w:val="44"/>
        </w:rPr>
      </w:pPr>
      <w:r>
        <w:rPr>
          <w:rFonts w:hint="eastAsia" w:ascii="仿宋" w:hAnsi="仿宋" w:eastAsia="仿宋" w:cs="仿宋"/>
          <w:b/>
          <w:bCs/>
          <w:kern w:val="0"/>
          <w:sz w:val="44"/>
          <w:szCs w:val="44"/>
          <w:lang w:val="en-US" w:eastAsia="zh-CN" w:bidi="ar-SA"/>
        </w:rPr>
        <w:t>采购项目需求书</w:t>
      </w:r>
    </w:p>
    <w:p w14:paraId="39808E26"/>
    <w:bookmarkEnd w:id="0"/>
    <w:bookmarkEnd w:id="1"/>
    <w:bookmarkEnd w:id="2"/>
    <w:bookmarkEnd w:id="3"/>
    <w:bookmarkEnd w:id="4"/>
    <w:bookmarkEnd w:id="5"/>
    <w:bookmarkEnd w:id="6"/>
    <w:bookmarkEnd w:id="7"/>
    <w:bookmarkEnd w:id="8"/>
    <w:p w14:paraId="3550B1F3">
      <w:pPr>
        <w:spacing w:line="600" w:lineRule="exact"/>
        <w:ind w:firstLine="643" w:firstLineChars="200"/>
        <w:outlineLvl w:val="1"/>
        <w:rPr>
          <w:rFonts w:hint="eastAsia" w:ascii="仿宋" w:hAnsi="仿宋" w:eastAsia="仿宋" w:cs="仿宋"/>
          <w:b/>
          <w:sz w:val="32"/>
          <w:szCs w:val="32"/>
        </w:rPr>
      </w:pPr>
      <w:bookmarkStart w:id="9" w:name="_Toc419986981"/>
      <w:r>
        <w:rPr>
          <w:rFonts w:hint="eastAsia" w:ascii="仿宋" w:hAnsi="仿宋" w:eastAsia="仿宋" w:cs="仿宋"/>
          <w:b/>
          <w:sz w:val="32"/>
          <w:szCs w:val="32"/>
        </w:rPr>
        <w:t>一、投标人资格</w:t>
      </w:r>
    </w:p>
    <w:p w14:paraId="746ACAA9">
      <w:pPr>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参加本项目投标的投标人除应具备《政府采购法》第二十二条供应商资格条件外，还必须符合下列要求：</w:t>
      </w:r>
    </w:p>
    <w:p w14:paraId="2BEBC54C">
      <w:pPr>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1、投标人必须是具有独立民事责任的法人或具有独立承担民事责任的能力的其它组织（提供营业执照或事业单位法人证等法人证明扫描件）。</w:t>
      </w:r>
    </w:p>
    <w:p w14:paraId="6B1E2FDF">
      <w:pPr>
        <w:spacing w:line="600" w:lineRule="exact"/>
        <w:ind w:firstLine="640" w:firstLineChars="200"/>
        <w:rPr>
          <w:rFonts w:hint="eastAsia" w:ascii="仿宋" w:hAnsi="仿宋" w:eastAsia="仿宋" w:cs="仿宋"/>
          <w:sz w:val="32"/>
          <w:szCs w:val="32"/>
        </w:rPr>
      </w:pPr>
      <w:r>
        <w:rPr>
          <w:rFonts w:hint="eastAsia" w:ascii="仿宋" w:hAnsi="仿宋" w:eastAsia="仿宋" w:cs="仿宋"/>
          <w:kern w:val="0"/>
          <w:sz w:val="32"/>
          <w:szCs w:val="32"/>
        </w:rPr>
        <w:t>2、</w:t>
      </w:r>
      <w:r>
        <w:rPr>
          <w:rFonts w:hint="eastAsia" w:ascii="仿宋" w:hAnsi="仿宋" w:eastAsia="仿宋" w:cs="仿宋"/>
          <w:sz w:val="32"/>
          <w:szCs w:val="32"/>
        </w:rPr>
        <w:t>投标人参与本项目投标前三年内，在经营活动中没有重大违法记录（由供应商在《投标人具备投标资格的证明文件》中作出声明）。</w:t>
      </w:r>
    </w:p>
    <w:p w14:paraId="3867BBE9">
      <w:pPr>
        <w:spacing w:line="600" w:lineRule="exact"/>
        <w:ind w:firstLine="640" w:firstLineChars="200"/>
        <w:rPr>
          <w:rFonts w:hint="eastAsia" w:ascii="仿宋" w:hAnsi="仿宋" w:eastAsia="仿宋" w:cs="仿宋"/>
          <w:sz w:val="32"/>
          <w:szCs w:val="32"/>
        </w:rPr>
      </w:pPr>
      <w:r>
        <w:rPr>
          <w:rFonts w:hint="eastAsia" w:ascii="仿宋" w:hAnsi="仿宋" w:eastAsia="仿宋" w:cs="仿宋"/>
          <w:kern w:val="0"/>
          <w:sz w:val="32"/>
          <w:szCs w:val="32"/>
        </w:rPr>
        <w:t>3、</w:t>
      </w:r>
      <w:r>
        <w:rPr>
          <w:rFonts w:hint="eastAsia" w:ascii="仿宋" w:hAnsi="仿宋" w:eastAsia="仿宋" w:cs="仿宋"/>
          <w:sz w:val="32"/>
          <w:szCs w:val="32"/>
        </w:rPr>
        <w:t>本项目不接受联合体投标，不允许分包。</w:t>
      </w:r>
    </w:p>
    <w:p w14:paraId="43B0847E">
      <w:pPr>
        <w:spacing w:line="600" w:lineRule="exact"/>
        <w:ind w:firstLine="640" w:firstLineChars="200"/>
        <w:rPr>
          <w:rFonts w:ascii="仿宋_GB2312" w:hAnsi="仿宋_GB2312" w:eastAsia="仿宋_GB2312" w:cs="仿宋_GB2312"/>
          <w:sz w:val="32"/>
          <w:szCs w:val="32"/>
        </w:rPr>
      </w:pPr>
    </w:p>
    <w:p w14:paraId="0C62846A">
      <w:pPr>
        <w:spacing w:line="600" w:lineRule="exact"/>
        <w:ind w:firstLine="643" w:firstLineChars="200"/>
        <w:outlineLvl w:val="1"/>
        <w:rPr>
          <w:rFonts w:hint="eastAsia" w:ascii="仿宋" w:hAnsi="仿宋" w:eastAsia="仿宋" w:cs="仿宋"/>
          <w:b/>
          <w:sz w:val="32"/>
          <w:szCs w:val="32"/>
        </w:rPr>
      </w:pPr>
      <w:r>
        <w:rPr>
          <w:rFonts w:hint="eastAsia" w:ascii="仿宋" w:hAnsi="仿宋" w:eastAsia="仿宋" w:cs="仿宋"/>
          <w:b/>
          <w:sz w:val="32"/>
          <w:szCs w:val="32"/>
        </w:rPr>
        <w:t>二、项目概况</w:t>
      </w:r>
      <w:bookmarkEnd w:id="9"/>
    </w:p>
    <w:p w14:paraId="76BAEC98">
      <w:pPr>
        <w:keepNext w:val="0"/>
        <w:keepLines w:val="0"/>
        <w:pageBreakBefore w:val="0"/>
        <w:widowControl w:val="0"/>
        <w:tabs>
          <w:tab w:val="left" w:pos="540"/>
        </w:tabs>
        <w:kinsoku/>
        <w:wordWrap/>
        <w:overflowPunct/>
        <w:topLinePunct w:val="0"/>
        <w:autoSpaceDE/>
        <w:autoSpaceDN/>
        <w:bidi w:val="0"/>
        <w:spacing w:line="600" w:lineRule="exact"/>
        <w:ind w:firstLine="640" w:firstLineChars="200"/>
        <w:textAlignment w:val="auto"/>
        <w:rPr>
          <w:rFonts w:hint="eastAsia" w:ascii="仿宋" w:hAnsi="仿宋" w:eastAsia="仿宋" w:cs="仿宋"/>
          <w:bCs/>
          <w:sz w:val="32"/>
          <w:szCs w:val="32"/>
        </w:rPr>
      </w:pPr>
      <w:r>
        <w:rPr>
          <w:rFonts w:hint="eastAsia" w:ascii="仿宋" w:hAnsi="仿宋" w:eastAsia="仿宋" w:cs="仿宋"/>
          <w:kern w:val="0"/>
          <w:sz w:val="32"/>
          <w:szCs w:val="32"/>
        </w:rPr>
        <w:t>1、</w:t>
      </w:r>
      <w:r>
        <w:rPr>
          <w:rFonts w:hint="eastAsia" w:ascii="仿宋" w:hAnsi="仿宋" w:eastAsia="仿宋" w:cs="仿宋"/>
          <w:sz w:val="32"/>
          <w:szCs w:val="32"/>
        </w:rPr>
        <w:t>采购</w:t>
      </w:r>
      <w:r>
        <w:rPr>
          <w:rFonts w:hint="eastAsia" w:ascii="仿宋" w:hAnsi="仿宋" w:eastAsia="仿宋" w:cs="仿宋"/>
          <w:bCs/>
          <w:sz w:val="32"/>
          <w:szCs w:val="32"/>
        </w:rPr>
        <w:t>预算：</w:t>
      </w:r>
    </w:p>
    <w:tbl>
      <w:tblPr>
        <w:tblStyle w:val="10"/>
        <w:tblpPr w:leftFromText="180" w:rightFromText="180" w:vertAnchor="text" w:horzAnchor="page" w:tblpX="2039" w:tblpY="687"/>
        <w:tblOverlap w:val="never"/>
        <w:tblW w:w="821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10"/>
        <w:gridCol w:w="2154"/>
        <w:gridCol w:w="2547"/>
      </w:tblGrid>
      <w:tr w14:paraId="24AF9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10" w:type="dxa"/>
            <w:vAlign w:val="center"/>
          </w:tcPr>
          <w:p w14:paraId="382EEA45">
            <w:pPr>
              <w:keepNext w:val="0"/>
              <w:keepLines w:val="0"/>
              <w:pageBreakBefore w:val="0"/>
              <w:widowControl w:val="0"/>
              <w:kinsoku/>
              <w:wordWrap/>
              <w:overflowPunct/>
              <w:topLinePunct w:val="0"/>
              <w:autoSpaceDE/>
              <w:autoSpaceDN/>
              <w:bidi w:val="0"/>
              <w:adjustRightInd w:val="0"/>
              <w:snapToGrid w:val="0"/>
              <w:spacing w:line="600" w:lineRule="exact"/>
              <w:jc w:val="center"/>
              <w:textAlignment w:val="auto"/>
              <w:rPr>
                <w:rFonts w:hint="eastAsia" w:ascii="仿宋" w:hAnsi="仿宋" w:eastAsia="仿宋" w:cs="仿宋"/>
                <w:b/>
                <w:bCs/>
                <w:sz w:val="32"/>
                <w:szCs w:val="32"/>
              </w:rPr>
            </w:pPr>
            <w:r>
              <w:rPr>
                <w:rFonts w:hint="eastAsia" w:ascii="仿宋" w:hAnsi="仿宋" w:eastAsia="仿宋" w:cs="仿宋"/>
                <w:b/>
                <w:bCs/>
                <w:sz w:val="32"/>
                <w:szCs w:val="32"/>
              </w:rPr>
              <w:t>预算金额</w:t>
            </w:r>
          </w:p>
        </w:tc>
        <w:tc>
          <w:tcPr>
            <w:tcW w:w="2154" w:type="dxa"/>
            <w:vAlign w:val="center"/>
          </w:tcPr>
          <w:p w14:paraId="620F1C59">
            <w:pPr>
              <w:keepNext w:val="0"/>
              <w:keepLines w:val="0"/>
              <w:pageBreakBefore w:val="0"/>
              <w:widowControl w:val="0"/>
              <w:kinsoku/>
              <w:wordWrap/>
              <w:overflowPunct/>
              <w:topLinePunct w:val="0"/>
              <w:autoSpaceDE/>
              <w:autoSpaceDN/>
              <w:bidi w:val="0"/>
              <w:adjustRightInd w:val="0"/>
              <w:snapToGrid w:val="0"/>
              <w:spacing w:line="600" w:lineRule="exact"/>
              <w:ind w:right="-181" w:rightChars="-86"/>
              <w:jc w:val="center"/>
              <w:textAlignment w:val="auto"/>
              <w:rPr>
                <w:rFonts w:hint="eastAsia" w:ascii="仿宋" w:hAnsi="仿宋" w:eastAsia="仿宋" w:cs="仿宋"/>
                <w:b/>
                <w:bCs/>
                <w:sz w:val="32"/>
                <w:szCs w:val="32"/>
              </w:rPr>
            </w:pPr>
            <w:r>
              <w:rPr>
                <w:rFonts w:hint="eastAsia" w:ascii="仿宋" w:hAnsi="仿宋" w:eastAsia="仿宋" w:cs="仿宋"/>
                <w:b/>
                <w:bCs/>
                <w:sz w:val="32"/>
                <w:szCs w:val="32"/>
              </w:rPr>
              <w:t>服务期限</w:t>
            </w:r>
          </w:p>
        </w:tc>
        <w:tc>
          <w:tcPr>
            <w:tcW w:w="2547" w:type="dxa"/>
            <w:vAlign w:val="center"/>
          </w:tcPr>
          <w:p w14:paraId="535A0970">
            <w:pPr>
              <w:keepNext w:val="0"/>
              <w:keepLines w:val="0"/>
              <w:pageBreakBefore w:val="0"/>
              <w:widowControl w:val="0"/>
              <w:kinsoku/>
              <w:wordWrap/>
              <w:overflowPunct/>
              <w:topLinePunct w:val="0"/>
              <w:autoSpaceDE/>
              <w:autoSpaceDN/>
              <w:bidi w:val="0"/>
              <w:adjustRightInd w:val="0"/>
              <w:snapToGrid w:val="0"/>
              <w:spacing w:line="600" w:lineRule="exact"/>
              <w:ind w:right="-181" w:rightChars="-86"/>
              <w:jc w:val="center"/>
              <w:textAlignment w:val="auto"/>
              <w:rPr>
                <w:rFonts w:hint="eastAsia" w:ascii="仿宋" w:hAnsi="仿宋" w:eastAsia="仿宋" w:cs="仿宋"/>
                <w:b/>
                <w:bCs/>
                <w:sz w:val="32"/>
                <w:szCs w:val="32"/>
              </w:rPr>
            </w:pPr>
            <w:r>
              <w:rPr>
                <w:rFonts w:hint="eastAsia" w:ascii="仿宋" w:hAnsi="仿宋" w:eastAsia="仿宋" w:cs="仿宋"/>
                <w:b/>
                <w:bCs/>
                <w:sz w:val="32"/>
                <w:szCs w:val="32"/>
              </w:rPr>
              <w:t>备注</w:t>
            </w:r>
          </w:p>
        </w:tc>
      </w:tr>
      <w:tr w14:paraId="00571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2" w:hRule="atLeast"/>
        </w:trPr>
        <w:tc>
          <w:tcPr>
            <w:tcW w:w="3510" w:type="dxa"/>
            <w:vAlign w:val="center"/>
          </w:tcPr>
          <w:p w14:paraId="67A8C35E">
            <w:pPr>
              <w:keepNext w:val="0"/>
              <w:keepLines w:val="0"/>
              <w:pageBreakBefore w:val="0"/>
              <w:widowControl w:val="0"/>
              <w:kinsoku/>
              <w:wordWrap/>
              <w:overflowPunct/>
              <w:topLinePunct w:val="0"/>
              <w:autoSpaceDE/>
              <w:autoSpaceDN/>
              <w:bidi w:val="0"/>
              <w:adjustRightInd w:val="0"/>
              <w:snapToGrid w:val="0"/>
              <w:spacing w:line="600" w:lineRule="exact"/>
              <w:jc w:val="center"/>
              <w:textAlignment w:val="auto"/>
              <w:rPr>
                <w:rFonts w:hint="eastAsia" w:ascii="仿宋" w:hAnsi="仿宋" w:eastAsia="仿宋" w:cs="仿宋"/>
                <w:bCs/>
                <w:sz w:val="32"/>
                <w:szCs w:val="32"/>
                <w:highlight w:val="none"/>
              </w:rPr>
            </w:pPr>
            <w:r>
              <w:rPr>
                <w:rFonts w:hint="eastAsia" w:ascii="仿宋" w:hAnsi="仿宋" w:eastAsia="仿宋" w:cs="仿宋"/>
                <w:bCs/>
                <w:sz w:val="32"/>
                <w:szCs w:val="32"/>
                <w:highlight w:val="none"/>
              </w:rPr>
              <w:t>人民币</w:t>
            </w:r>
            <w:r>
              <w:rPr>
                <w:rFonts w:hint="eastAsia" w:ascii="仿宋" w:hAnsi="仿宋" w:eastAsia="仿宋" w:cs="仿宋"/>
                <w:bCs/>
                <w:sz w:val="32"/>
                <w:szCs w:val="32"/>
                <w:highlight w:val="none"/>
                <w:lang w:val="en-US" w:eastAsia="zh-CN"/>
              </w:rPr>
              <w:t>55000</w:t>
            </w:r>
            <w:r>
              <w:rPr>
                <w:rFonts w:hint="eastAsia" w:ascii="仿宋" w:hAnsi="仿宋" w:eastAsia="仿宋" w:cs="仿宋"/>
                <w:bCs/>
                <w:sz w:val="32"/>
                <w:szCs w:val="32"/>
                <w:highlight w:val="none"/>
              </w:rPr>
              <w:t>.00元</w:t>
            </w:r>
          </w:p>
        </w:tc>
        <w:tc>
          <w:tcPr>
            <w:tcW w:w="2154" w:type="dxa"/>
            <w:vAlign w:val="center"/>
          </w:tcPr>
          <w:p w14:paraId="55ACB2CD">
            <w:pPr>
              <w:keepNext w:val="0"/>
              <w:keepLines w:val="0"/>
              <w:pageBreakBefore w:val="0"/>
              <w:widowControl w:val="0"/>
              <w:kinsoku/>
              <w:wordWrap/>
              <w:overflowPunct/>
              <w:topLinePunct w:val="0"/>
              <w:autoSpaceDE/>
              <w:autoSpaceDN/>
              <w:bidi w:val="0"/>
              <w:adjustRightInd w:val="0"/>
              <w:snapToGrid w:val="0"/>
              <w:spacing w:line="600" w:lineRule="exact"/>
              <w:ind w:right="-181" w:rightChars="-86"/>
              <w:jc w:val="center"/>
              <w:textAlignment w:val="auto"/>
              <w:rPr>
                <w:rFonts w:hint="eastAsia" w:ascii="仿宋" w:hAnsi="仿宋" w:eastAsia="仿宋" w:cs="仿宋"/>
                <w:bCs/>
                <w:sz w:val="32"/>
                <w:szCs w:val="32"/>
                <w:highlight w:val="none"/>
                <w:lang w:val="en-US" w:eastAsia="zh-CN"/>
              </w:rPr>
            </w:pPr>
            <w:r>
              <w:rPr>
                <w:rFonts w:hint="eastAsia" w:ascii="仿宋" w:hAnsi="仿宋" w:eastAsia="仿宋" w:cs="仿宋"/>
                <w:bCs/>
                <w:sz w:val="32"/>
                <w:szCs w:val="32"/>
                <w:highlight w:val="none"/>
                <w:lang w:val="en-US" w:eastAsia="zh-CN"/>
              </w:rPr>
              <w:t>90日</w:t>
            </w:r>
          </w:p>
        </w:tc>
        <w:tc>
          <w:tcPr>
            <w:tcW w:w="2547" w:type="dxa"/>
            <w:vAlign w:val="center"/>
          </w:tcPr>
          <w:p w14:paraId="2355D6A0">
            <w:pPr>
              <w:keepNext w:val="0"/>
              <w:keepLines w:val="0"/>
              <w:pageBreakBefore w:val="0"/>
              <w:widowControl w:val="0"/>
              <w:kinsoku/>
              <w:wordWrap/>
              <w:overflowPunct/>
              <w:topLinePunct w:val="0"/>
              <w:autoSpaceDE/>
              <w:autoSpaceDN/>
              <w:bidi w:val="0"/>
              <w:adjustRightInd w:val="0"/>
              <w:snapToGrid w:val="0"/>
              <w:spacing w:line="600" w:lineRule="exact"/>
              <w:ind w:right="-181" w:rightChars="-86"/>
              <w:jc w:val="center"/>
              <w:textAlignment w:val="auto"/>
              <w:rPr>
                <w:rFonts w:hint="eastAsia" w:ascii="仿宋" w:hAnsi="仿宋" w:eastAsia="仿宋" w:cs="仿宋"/>
                <w:bCs/>
                <w:sz w:val="32"/>
                <w:szCs w:val="32"/>
                <w:lang w:val="en-US" w:eastAsia="zh-CN"/>
              </w:rPr>
            </w:pPr>
            <w:r>
              <w:rPr>
                <w:rFonts w:hint="eastAsia" w:ascii="仿宋" w:hAnsi="仿宋" w:eastAsia="仿宋" w:cs="仿宋"/>
                <w:bCs/>
                <w:sz w:val="32"/>
                <w:szCs w:val="32"/>
                <w:lang w:val="en-US" w:eastAsia="zh-CN"/>
              </w:rPr>
              <w:t>/</w:t>
            </w:r>
          </w:p>
        </w:tc>
      </w:tr>
    </w:tbl>
    <w:p w14:paraId="7AFE1656">
      <w:pPr>
        <w:tabs>
          <w:tab w:val="left" w:pos="540"/>
        </w:tabs>
        <w:adjustRightInd w:val="0"/>
        <w:snapToGrid w:val="0"/>
        <w:spacing w:before="156" w:beforeLines="50" w:line="600" w:lineRule="exact"/>
        <w:ind w:right="-181" w:rightChars="-86" w:firstLine="640" w:firstLineChars="200"/>
        <w:rPr>
          <w:rFonts w:hint="eastAsia" w:ascii="仿宋" w:hAnsi="仿宋" w:eastAsia="仿宋" w:cs="仿宋"/>
          <w:snapToGrid w:val="0"/>
          <w:sz w:val="32"/>
          <w:szCs w:val="32"/>
        </w:rPr>
      </w:pPr>
      <w:r>
        <w:rPr>
          <w:rFonts w:hint="eastAsia" w:ascii="仿宋" w:hAnsi="仿宋" w:eastAsia="仿宋" w:cs="仿宋"/>
          <w:kern w:val="0"/>
          <w:sz w:val="32"/>
          <w:szCs w:val="32"/>
          <w:lang w:val="af-ZA"/>
        </w:rPr>
        <w:t>2、</w:t>
      </w:r>
      <w:r>
        <w:rPr>
          <w:rFonts w:hint="eastAsia" w:ascii="仿宋" w:hAnsi="仿宋" w:eastAsia="仿宋" w:cs="仿宋"/>
          <w:snapToGrid w:val="0"/>
          <w:sz w:val="32"/>
          <w:szCs w:val="32"/>
        </w:rPr>
        <w:t>用户：何香凝美术馆</w:t>
      </w:r>
    </w:p>
    <w:p w14:paraId="659CC2EE">
      <w:pPr>
        <w:tabs>
          <w:tab w:val="left" w:pos="540"/>
        </w:tabs>
        <w:adjustRightInd w:val="0"/>
        <w:snapToGrid w:val="0"/>
        <w:spacing w:line="600" w:lineRule="exact"/>
        <w:ind w:right="-181" w:rightChars="-86" w:firstLine="640" w:firstLineChars="200"/>
        <w:rPr>
          <w:rFonts w:hint="eastAsia" w:ascii="仿宋" w:hAnsi="仿宋" w:eastAsia="仿宋" w:cs="仿宋"/>
          <w:snapToGrid w:val="0"/>
          <w:sz w:val="32"/>
          <w:szCs w:val="32"/>
        </w:rPr>
      </w:pPr>
      <w:r>
        <w:rPr>
          <w:rFonts w:hint="eastAsia" w:ascii="仿宋" w:hAnsi="仿宋" w:eastAsia="仿宋" w:cs="仿宋"/>
          <w:kern w:val="0"/>
          <w:sz w:val="32"/>
          <w:szCs w:val="32"/>
        </w:rPr>
        <w:t>3</w:t>
      </w:r>
      <w:r>
        <w:rPr>
          <w:rFonts w:hint="eastAsia" w:ascii="仿宋" w:hAnsi="仿宋" w:eastAsia="仿宋" w:cs="仿宋"/>
          <w:snapToGrid w:val="0"/>
          <w:sz w:val="32"/>
          <w:szCs w:val="32"/>
        </w:rPr>
        <w:t>、投标人应对所有的招标内容进行投标，不允许只对部分内容进行投标。</w:t>
      </w:r>
    </w:p>
    <w:p w14:paraId="6240CDA9">
      <w:pPr>
        <w:tabs>
          <w:tab w:val="left" w:pos="540"/>
        </w:tabs>
        <w:adjustRightInd w:val="0"/>
        <w:snapToGrid w:val="0"/>
        <w:spacing w:line="600" w:lineRule="exact"/>
        <w:ind w:right="-181" w:rightChars="-86" w:firstLine="640" w:firstLineChars="200"/>
        <w:rPr>
          <w:rFonts w:hint="eastAsia" w:ascii="仿宋" w:hAnsi="仿宋" w:eastAsia="仿宋" w:cs="仿宋"/>
          <w:snapToGrid w:val="0"/>
          <w:sz w:val="32"/>
          <w:szCs w:val="32"/>
        </w:rPr>
      </w:pPr>
      <w:r>
        <w:rPr>
          <w:rFonts w:hint="eastAsia" w:ascii="仿宋" w:hAnsi="仿宋" w:eastAsia="仿宋" w:cs="仿宋"/>
          <w:kern w:val="0"/>
          <w:sz w:val="32"/>
          <w:szCs w:val="32"/>
        </w:rPr>
        <w:t>4</w:t>
      </w:r>
      <w:r>
        <w:rPr>
          <w:rFonts w:hint="eastAsia" w:ascii="仿宋" w:hAnsi="仿宋" w:eastAsia="仿宋" w:cs="仿宋"/>
          <w:snapToGrid w:val="0"/>
          <w:sz w:val="32"/>
          <w:szCs w:val="32"/>
        </w:rPr>
        <w:t>、报价要求：以人民币报价。总价内必须包含相关的费用（指上述服务期限）有：劳务费、制作费以及国家规定的各项税费。</w:t>
      </w:r>
    </w:p>
    <w:p w14:paraId="221F0E13">
      <w:pPr>
        <w:tabs>
          <w:tab w:val="left" w:pos="540"/>
        </w:tabs>
        <w:adjustRightInd w:val="0"/>
        <w:snapToGrid w:val="0"/>
        <w:spacing w:line="600" w:lineRule="exact"/>
        <w:ind w:right="-181" w:rightChars="-86" w:firstLine="640" w:firstLineChars="200"/>
        <w:rPr>
          <w:rFonts w:ascii="仿宋_GB2312" w:hAnsi="仿宋_GB2312" w:eastAsia="仿宋_GB2312" w:cs="仿宋_GB2312"/>
          <w:snapToGrid w:val="0"/>
          <w:sz w:val="32"/>
          <w:szCs w:val="32"/>
        </w:rPr>
      </w:pPr>
    </w:p>
    <w:p w14:paraId="1D0C87AA">
      <w:pPr>
        <w:spacing w:line="600" w:lineRule="exact"/>
        <w:ind w:firstLine="643" w:firstLineChars="200"/>
        <w:outlineLvl w:val="1"/>
        <w:rPr>
          <w:rFonts w:hint="eastAsia" w:ascii="仿宋" w:hAnsi="仿宋" w:eastAsia="仿宋" w:cs="仿宋"/>
          <w:b/>
          <w:sz w:val="32"/>
          <w:szCs w:val="32"/>
        </w:rPr>
      </w:pPr>
      <w:bookmarkStart w:id="10" w:name="_Toc419986982"/>
      <w:r>
        <w:rPr>
          <w:rFonts w:hint="eastAsia" w:ascii="仿宋" w:hAnsi="仿宋" w:eastAsia="仿宋" w:cs="仿宋"/>
          <w:b/>
          <w:sz w:val="32"/>
          <w:szCs w:val="32"/>
        </w:rPr>
        <w:t>三、招标范围及要求</w:t>
      </w:r>
      <w:bookmarkEnd w:id="10"/>
    </w:p>
    <w:p w14:paraId="6F5F6DE7">
      <w:pPr>
        <w:spacing w:line="600" w:lineRule="exact"/>
        <w:ind w:firstLine="643" w:firstLineChars="200"/>
        <w:rPr>
          <w:rFonts w:hint="eastAsia" w:ascii="仿宋" w:hAnsi="仿宋" w:eastAsia="仿宋" w:cs="仿宋"/>
          <w:b/>
          <w:sz w:val="32"/>
          <w:szCs w:val="32"/>
        </w:rPr>
      </w:pPr>
      <w:r>
        <w:rPr>
          <w:rFonts w:hint="eastAsia" w:ascii="仿宋" w:hAnsi="仿宋" w:eastAsia="仿宋" w:cs="仿宋"/>
          <w:b/>
          <w:sz w:val="32"/>
          <w:szCs w:val="32"/>
        </w:rPr>
        <w:t>（一）项目概述</w:t>
      </w:r>
    </w:p>
    <w:p w14:paraId="05CC0EF0">
      <w:pPr>
        <w:tabs>
          <w:tab w:val="left" w:pos="540"/>
        </w:tabs>
        <w:adjustRightInd w:val="0"/>
        <w:snapToGrid w:val="0"/>
        <w:spacing w:line="600" w:lineRule="exact"/>
        <w:ind w:right="-181" w:rightChars="-86" w:firstLine="640" w:firstLineChars="200"/>
        <w:rPr>
          <w:rFonts w:ascii="仿宋_GB2312" w:hAnsi="仿宋_GB2312" w:eastAsia="仿宋_GB2312" w:cs="仿宋_GB2312"/>
          <w:b/>
          <w:snapToGrid w:val="0"/>
          <w:sz w:val="32"/>
          <w:szCs w:val="32"/>
        </w:rPr>
      </w:pPr>
      <w:r>
        <w:rPr>
          <w:rFonts w:hint="eastAsia" w:ascii="仿宋" w:hAnsi="仿宋" w:eastAsia="仿宋" w:cs="仿宋"/>
          <w:snapToGrid w:val="0"/>
          <w:sz w:val="32"/>
          <w:szCs w:val="32"/>
        </w:rPr>
        <w:t>本项目为“山河归鉴：张伯驹潘素艺术文献暨书画作品展”（暂定名）</w:t>
      </w:r>
      <w:r>
        <w:rPr>
          <w:rFonts w:hint="eastAsia" w:ascii="仿宋" w:hAnsi="仿宋" w:eastAsia="仿宋" w:cs="仿宋"/>
          <w:sz w:val="32"/>
          <w:szCs w:val="32"/>
          <w:highlight w:val="none"/>
          <w:lang w:val="en-US" w:eastAsia="zh-CN"/>
        </w:rPr>
        <w:t>的平面及</w:t>
      </w:r>
      <w:bookmarkStart w:id="20" w:name="_GoBack"/>
      <w:bookmarkEnd w:id="20"/>
      <w:r>
        <w:rPr>
          <w:rFonts w:hint="eastAsia" w:ascii="仿宋" w:hAnsi="仿宋" w:eastAsia="仿宋" w:cs="仿宋"/>
          <w:sz w:val="32"/>
          <w:szCs w:val="32"/>
          <w:lang w:val="en-US" w:eastAsia="zh-CN"/>
        </w:rPr>
        <w:t>展览空间</w:t>
      </w:r>
      <w:r>
        <w:rPr>
          <w:rFonts w:hint="eastAsia" w:ascii="仿宋" w:hAnsi="仿宋" w:eastAsia="仿宋" w:cs="仿宋"/>
          <w:snapToGrid w:val="0"/>
          <w:sz w:val="32"/>
          <w:szCs w:val="32"/>
          <w:lang w:eastAsia="zh-CN"/>
        </w:rPr>
        <w:t>提供</w:t>
      </w:r>
      <w:r>
        <w:rPr>
          <w:rFonts w:hint="eastAsia" w:ascii="仿宋" w:hAnsi="仿宋" w:eastAsia="仿宋" w:cs="仿宋"/>
          <w:snapToGrid w:val="0"/>
          <w:sz w:val="32"/>
          <w:szCs w:val="32"/>
        </w:rPr>
        <w:t>设计服务。</w:t>
      </w:r>
    </w:p>
    <w:p w14:paraId="27F35809">
      <w:pPr>
        <w:spacing w:line="600" w:lineRule="exact"/>
        <w:ind w:firstLine="643" w:firstLineChars="200"/>
        <w:rPr>
          <w:rFonts w:ascii="仿宋_GB2312" w:hAnsi="仿宋_GB2312" w:eastAsia="仿宋_GB2312" w:cs="仿宋_GB2312"/>
          <w:b/>
          <w:sz w:val="32"/>
          <w:szCs w:val="32"/>
        </w:rPr>
      </w:pPr>
      <w:bookmarkStart w:id="11" w:name="_Toc419986983"/>
      <w:r>
        <w:rPr>
          <w:rFonts w:hint="eastAsia" w:ascii="仿宋_GB2312" w:hAnsi="仿宋_GB2312" w:eastAsia="仿宋_GB2312" w:cs="仿宋_GB2312"/>
          <w:b/>
          <w:sz w:val="32"/>
          <w:szCs w:val="32"/>
        </w:rPr>
        <w:t>（二）技术条款要求</w:t>
      </w:r>
    </w:p>
    <w:p w14:paraId="53173620">
      <w:pPr>
        <w:spacing w:line="600" w:lineRule="exact"/>
        <w:ind w:firstLine="643" w:firstLineChars="200"/>
        <w:rPr>
          <w:rFonts w:ascii="仿宋_GB2312" w:hAnsi="仿宋_GB2312" w:eastAsia="仿宋_GB2312" w:cs="仿宋_GB2312"/>
          <w:b/>
          <w:sz w:val="32"/>
          <w:szCs w:val="32"/>
        </w:rPr>
      </w:pPr>
      <w:r>
        <w:rPr>
          <w:rFonts w:hint="eastAsia" w:ascii="Times New Roman" w:hAnsi="Times New Roman" w:eastAsia="仿宋_GB2312" w:cs="Times New Roman"/>
          <w:b/>
          <w:bCs/>
          <w:kern w:val="0"/>
          <w:sz w:val="32"/>
          <w:szCs w:val="32"/>
        </w:rPr>
        <w:t>1、</w:t>
      </w:r>
      <w:r>
        <w:rPr>
          <w:rFonts w:hint="eastAsia" w:ascii="仿宋_GB2312" w:hAnsi="仿宋_GB2312" w:eastAsia="仿宋_GB2312" w:cs="仿宋_GB2312"/>
          <w:b/>
          <w:bCs/>
          <w:sz w:val="32"/>
          <w:szCs w:val="32"/>
        </w:rPr>
        <w:t>项目服</w:t>
      </w:r>
      <w:r>
        <w:rPr>
          <w:rFonts w:hint="eastAsia" w:ascii="仿宋_GB2312" w:hAnsi="仿宋_GB2312" w:eastAsia="仿宋_GB2312" w:cs="仿宋_GB2312"/>
          <w:b/>
          <w:sz w:val="32"/>
          <w:szCs w:val="32"/>
        </w:rPr>
        <w:t>务内容</w:t>
      </w:r>
    </w:p>
    <w:p w14:paraId="22799434">
      <w:pPr>
        <w:spacing w:line="60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（1）展厅</w:t>
      </w:r>
      <w:r>
        <w:rPr>
          <w:rFonts w:hint="eastAsia" w:ascii="仿宋_GB2312" w:hAnsi="仿宋_GB2312" w:eastAsia="仿宋_GB2312" w:cs="仿宋_GB2312"/>
          <w:sz w:val="32"/>
          <w:szCs w:val="32"/>
          <w:lang w:eastAsia="zh-CN"/>
        </w:rPr>
        <w:t>空间</w:t>
      </w:r>
      <w:r>
        <w:rPr>
          <w:rFonts w:hint="eastAsia" w:ascii="仿宋_GB2312" w:hAnsi="仿宋_GB2312" w:eastAsia="仿宋_GB2312" w:cs="仿宋_GB2312"/>
          <w:sz w:val="32"/>
          <w:szCs w:val="32"/>
        </w:rPr>
        <w:t>设计：配合展览需求设计展柜、特装、路线图等。</w:t>
      </w:r>
    </w:p>
    <w:p w14:paraId="71E1ED9D">
      <w:pPr>
        <w:spacing w:line="60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（2）展板设计：根据展览整体设计效果设计相应展板，包括前言、分篇幅文字，展览背景图片等。</w:t>
      </w:r>
    </w:p>
    <w:p w14:paraId="175274F9">
      <w:pPr>
        <w:spacing w:line="600" w:lineRule="exact"/>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）展览</w:t>
      </w:r>
      <w:r>
        <w:rPr>
          <w:rFonts w:hint="eastAsia" w:ascii="仿宋_GB2312" w:hAnsi="仿宋_GB2312" w:eastAsia="仿宋_GB2312" w:cs="仿宋_GB2312"/>
          <w:sz w:val="32"/>
          <w:szCs w:val="32"/>
          <w:lang w:eastAsia="zh-CN"/>
        </w:rPr>
        <w:t>平面</w:t>
      </w:r>
      <w:r>
        <w:rPr>
          <w:rFonts w:hint="eastAsia" w:ascii="仿宋_GB2312" w:hAnsi="仿宋_GB2312" w:eastAsia="仿宋_GB2312" w:cs="仿宋_GB2312"/>
          <w:sz w:val="32"/>
          <w:szCs w:val="32"/>
        </w:rPr>
        <w:t>标签设计</w:t>
      </w:r>
      <w:r>
        <w:rPr>
          <w:rFonts w:hint="eastAsia" w:ascii="仿宋_GB2312" w:hAnsi="仿宋_GB2312" w:eastAsia="仿宋_GB2312" w:cs="仿宋_GB2312"/>
          <w:sz w:val="32"/>
          <w:szCs w:val="32"/>
          <w:lang w:eastAsia="zh-CN"/>
        </w:rPr>
        <w:t>：海报、画册等。</w:t>
      </w:r>
    </w:p>
    <w:p w14:paraId="50313A3A">
      <w:pPr>
        <w:spacing w:line="600" w:lineRule="exact"/>
        <w:rPr>
          <w:rFonts w:hint="eastAsia" w:ascii="仿宋_GB2312" w:hAnsi="仿宋_GB2312" w:eastAsia="仿宋_GB2312" w:cs="仿宋_GB2312"/>
          <w:sz w:val="32"/>
          <w:szCs w:val="32"/>
          <w:lang w:eastAsia="zh-CN"/>
        </w:rPr>
      </w:pPr>
    </w:p>
    <w:p w14:paraId="1D51872A">
      <w:pPr>
        <w:numPr>
          <w:ilvl w:val="0"/>
          <w:numId w:val="1"/>
        </w:numPr>
        <w:spacing w:line="600" w:lineRule="exact"/>
        <w:ind w:firstLine="643" w:firstLineChars="200"/>
        <w:rPr>
          <w:rFonts w:ascii="仿宋_GB2312" w:hAnsi="仿宋_GB2312" w:eastAsia="仿宋_GB2312" w:cs="仿宋_GB2312"/>
          <w:b/>
          <w:sz w:val="32"/>
          <w:szCs w:val="32"/>
        </w:rPr>
      </w:pPr>
      <w:r>
        <w:rPr>
          <w:rFonts w:hint="eastAsia" w:ascii="仿宋_GB2312" w:hAnsi="仿宋_GB2312" w:eastAsia="仿宋_GB2312" w:cs="仿宋_GB2312"/>
          <w:b/>
          <w:sz w:val="32"/>
          <w:szCs w:val="32"/>
        </w:rPr>
        <w:t>项目服务要求</w:t>
      </w:r>
    </w:p>
    <w:p w14:paraId="6D43E5F0">
      <w:pPr>
        <w:tabs>
          <w:tab w:val="left" w:pos="540"/>
        </w:tabs>
        <w:adjustRightInd w:val="0"/>
        <w:snapToGrid w:val="0"/>
        <w:spacing w:line="600" w:lineRule="exact"/>
        <w:ind w:right="-181" w:rightChars="-86"/>
        <w:rPr>
          <w:rFonts w:ascii="仿宋_GB2312" w:hAnsi="仿宋_GB2312" w:eastAsia="仿宋_GB2312" w:cs="仿宋_GB2312"/>
          <w:sz w:val="32"/>
          <w:szCs w:val="32"/>
        </w:rPr>
      </w:pPr>
      <w:r>
        <w:rPr>
          <w:rFonts w:hint="eastAsia" w:ascii="仿宋_GB2312" w:hAnsi="仿宋_GB2312" w:eastAsia="仿宋_GB2312" w:cs="仿宋_GB2312"/>
          <w:sz w:val="32"/>
          <w:szCs w:val="32"/>
        </w:rPr>
        <w:t>（1）报价要求（明确分项报价要求）。</w:t>
      </w:r>
    </w:p>
    <w:p w14:paraId="5A50E367">
      <w:pPr>
        <w:tabs>
          <w:tab w:val="left" w:pos="540"/>
        </w:tabs>
        <w:adjustRightInd w:val="0"/>
        <w:snapToGrid w:val="0"/>
        <w:spacing w:line="600" w:lineRule="exact"/>
        <w:ind w:right="-181" w:rightChars="-86"/>
        <w:rPr>
          <w:rFonts w:ascii="仿宋_GB2312" w:hAnsi="仿宋_GB2312" w:eastAsia="仿宋_GB2312" w:cs="仿宋_GB2312"/>
          <w:sz w:val="32"/>
          <w:szCs w:val="32"/>
        </w:rPr>
      </w:pPr>
      <w:r>
        <w:rPr>
          <w:rFonts w:hint="eastAsia" w:ascii="仿宋_GB2312" w:hAnsi="仿宋_GB2312" w:eastAsia="仿宋_GB2312" w:cs="仿宋_GB2312"/>
          <w:sz w:val="32"/>
          <w:szCs w:val="32"/>
        </w:rPr>
        <w:t>（2）设计进度：配合展览要求，不得延误。</w:t>
      </w:r>
    </w:p>
    <w:p w14:paraId="3AC6E829">
      <w:pPr>
        <w:tabs>
          <w:tab w:val="left" w:pos="540"/>
        </w:tabs>
        <w:adjustRightInd w:val="0"/>
        <w:snapToGrid w:val="0"/>
        <w:spacing w:line="600" w:lineRule="exact"/>
        <w:ind w:right="-181" w:rightChars="-86"/>
        <w:rPr>
          <w:rFonts w:ascii="仿宋_GB2312" w:hAnsi="仿宋_GB2312" w:eastAsia="仿宋_GB2312" w:cs="仿宋_GB2312"/>
          <w:sz w:val="32"/>
          <w:szCs w:val="32"/>
        </w:rPr>
      </w:pPr>
      <w:r>
        <w:rPr>
          <w:rFonts w:hint="eastAsia" w:ascii="仿宋_GB2312" w:hAnsi="仿宋_GB2312" w:eastAsia="仿宋_GB2312" w:cs="仿宋_GB2312"/>
          <w:sz w:val="32"/>
          <w:szCs w:val="32"/>
        </w:rPr>
        <w:t>（3）质量标准：根据馆方要求设计，直至馆方满意并确认设计终稿为止。</w:t>
      </w:r>
    </w:p>
    <w:p w14:paraId="6C762404">
      <w:pPr>
        <w:tabs>
          <w:tab w:val="left" w:pos="540"/>
        </w:tabs>
        <w:adjustRightInd w:val="0"/>
        <w:snapToGrid w:val="0"/>
        <w:spacing w:line="600" w:lineRule="exact"/>
        <w:ind w:right="-181" w:rightChars="-86"/>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（4）设计版权、著作权最终归馆方所有。</w:t>
      </w:r>
    </w:p>
    <w:p w14:paraId="0AD903EB">
      <w:pPr>
        <w:tabs>
          <w:tab w:val="left" w:pos="540"/>
        </w:tabs>
        <w:adjustRightInd w:val="0"/>
        <w:snapToGrid w:val="0"/>
        <w:spacing w:line="600" w:lineRule="exact"/>
        <w:ind w:right="-181" w:rightChars="-86"/>
        <w:rPr>
          <w:rFonts w:hint="eastAsia" w:ascii="仿宋_GB2312" w:hAnsi="仿宋_GB2312" w:eastAsia="仿宋_GB2312" w:cs="仿宋_GB2312"/>
          <w:sz w:val="32"/>
          <w:szCs w:val="32"/>
        </w:rPr>
      </w:pPr>
    </w:p>
    <w:p w14:paraId="2A23E511">
      <w:pPr>
        <w:numPr>
          <w:ilvl w:val="0"/>
          <w:numId w:val="2"/>
        </w:numPr>
        <w:spacing w:line="600" w:lineRule="exact"/>
        <w:ind w:firstLine="643" w:firstLineChars="200"/>
        <w:rPr>
          <w:rFonts w:ascii="仿宋_GB2312" w:hAnsi="仿宋_GB2312" w:eastAsia="仿宋_GB2312" w:cs="仿宋_GB2312"/>
          <w:b/>
          <w:sz w:val="32"/>
          <w:szCs w:val="32"/>
        </w:rPr>
      </w:pPr>
      <w:r>
        <w:rPr>
          <w:rFonts w:hint="eastAsia" w:ascii="仿宋_GB2312" w:hAnsi="仿宋_GB2312" w:eastAsia="仿宋_GB2312" w:cs="仿宋_GB2312"/>
          <w:b/>
          <w:sz w:val="32"/>
          <w:szCs w:val="32"/>
        </w:rPr>
        <w:t>货物清单</w:t>
      </w:r>
    </w:p>
    <w:p w14:paraId="776B0A0E">
      <w:pPr>
        <w:pStyle w:val="8"/>
        <w:widowControl/>
        <w:spacing w:beforeAutospacing="0" w:afterAutospacing="0" w:line="360" w:lineRule="auto"/>
        <w:ind w:firstLine="420"/>
        <w:rPr>
          <w:rFonts w:ascii="仿宋_GB2312" w:hAnsi="仿宋_GB2312" w:eastAsia="仿宋_GB2312" w:cs="仿宋_GB2312"/>
          <w:b/>
          <w:sz w:val="32"/>
          <w:szCs w:val="32"/>
          <w:u w:val="single"/>
        </w:rPr>
      </w:pPr>
      <w:r>
        <w:rPr>
          <w:rFonts w:hint="eastAsia" w:ascii="仿宋_GB2312" w:hAnsi="仿宋_GB2312" w:eastAsia="仿宋_GB2312" w:cs="仿宋_GB2312"/>
          <w:b/>
          <w:sz w:val="32"/>
          <w:szCs w:val="32"/>
          <w:u w:val="single"/>
        </w:rPr>
        <w:t>投标人应按以下清单逐项报单价，报价不计入服务总价之内：</w:t>
      </w:r>
    </w:p>
    <w:p w14:paraId="33EE3E0B">
      <w:pPr>
        <w:pStyle w:val="8"/>
        <w:widowControl/>
        <w:spacing w:beforeAutospacing="0" w:afterAutospacing="0" w:line="360" w:lineRule="auto"/>
        <w:ind w:firstLine="420"/>
        <w:rPr>
          <w:rFonts w:ascii="仿宋_GB2312" w:hAnsi="仿宋_GB2312" w:eastAsia="仿宋_GB2312" w:cs="仿宋_GB2312"/>
          <w:b/>
          <w:sz w:val="32"/>
          <w:szCs w:val="32"/>
        </w:rPr>
      </w:pPr>
      <w:r>
        <w:rPr>
          <w:rFonts w:hint="eastAsia" w:ascii="仿宋_GB2312" w:hAnsi="仿宋_GB2312" w:eastAsia="仿宋_GB2312" w:cs="仿宋_GB2312"/>
          <w:b/>
          <w:sz w:val="32"/>
          <w:szCs w:val="32"/>
        </w:rPr>
        <w:t>1、展览</w:t>
      </w:r>
      <w:r>
        <w:rPr>
          <w:rFonts w:hint="eastAsia" w:ascii="仿宋_GB2312" w:hAnsi="仿宋_GB2312" w:eastAsia="仿宋_GB2312" w:cs="仿宋_GB2312"/>
          <w:b/>
          <w:sz w:val="32"/>
          <w:szCs w:val="32"/>
          <w:lang w:eastAsia="zh-CN"/>
        </w:rPr>
        <w:t>招贴</w:t>
      </w:r>
      <w:r>
        <w:rPr>
          <w:rFonts w:hint="eastAsia" w:ascii="仿宋_GB2312" w:hAnsi="仿宋_GB2312" w:eastAsia="仿宋_GB2312" w:cs="仿宋_GB2312"/>
          <w:b/>
          <w:sz w:val="32"/>
          <w:szCs w:val="32"/>
        </w:rPr>
        <w:t>及</w:t>
      </w:r>
      <w:r>
        <w:rPr>
          <w:rFonts w:hint="eastAsia" w:ascii="仿宋_GB2312" w:hAnsi="仿宋_GB2312" w:eastAsia="仿宋_GB2312" w:cs="仿宋_GB2312"/>
          <w:b/>
          <w:sz w:val="32"/>
          <w:szCs w:val="32"/>
          <w:lang w:eastAsia="zh-CN"/>
        </w:rPr>
        <w:t>空间</w:t>
      </w:r>
      <w:r>
        <w:rPr>
          <w:rFonts w:hint="eastAsia" w:ascii="仿宋_GB2312" w:hAnsi="仿宋_GB2312" w:eastAsia="仿宋_GB2312" w:cs="仿宋_GB2312"/>
          <w:b/>
          <w:sz w:val="32"/>
          <w:szCs w:val="32"/>
        </w:rPr>
        <w:t>设计</w:t>
      </w:r>
    </w:p>
    <w:tbl>
      <w:tblPr>
        <w:tblStyle w:val="10"/>
        <w:tblW w:w="7962" w:type="dxa"/>
        <w:jc w:val="center"/>
        <w:tblLayout w:type="fixed"/>
        <w:tblCellMar>
          <w:top w:w="0" w:type="dxa"/>
          <w:left w:w="108" w:type="dxa"/>
          <w:bottom w:w="0" w:type="dxa"/>
          <w:right w:w="108" w:type="dxa"/>
        </w:tblCellMar>
      </w:tblPr>
      <w:tblGrid>
        <w:gridCol w:w="1466"/>
        <w:gridCol w:w="3556"/>
        <w:gridCol w:w="1264"/>
        <w:gridCol w:w="1676"/>
      </w:tblGrid>
      <w:tr w14:paraId="564F7136">
        <w:tblPrEx>
          <w:tblCellMar>
            <w:top w:w="0" w:type="dxa"/>
            <w:left w:w="108" w:type="dxa"/>
            <w:bottom w:w="0" w:type="dxa"/>
            <w:right w:w="108" w:type="dxa"/>
          </w:tblCellMar>
        </w:tblPrEx>
        <w:trPr>
          <w:trHeight w:val="739" w:hRule="atLeast"/>
          <w:jc w:val="center"/>
        </w:trPr>
        <w:tc>
          <w:tcPr>
            <w:tcW w:w="1466" w:type="dxa"/>
            <w:vMerge w:val="restart"/>
            <w:tcBorders>
              <w:top w:val="single" w:color="auto" w:sz="4" w:space="0"/>
              <w:left w:val="single" w:color="auto" w:sz="4" w:space="0"/>
              <w:bottom w:val="single" w:color="000000" w:sz="8" w:space="0"/>
              <w:right w:val="single" w:color="000000" w:sz="8" w:space="0"/>
            </w:tcBorders>
            <w:vAlign w:val="center"/>
          </w:tcPr>
          <w:p w14:paraId="712B5A40">
            <w:pPr>
              <w:widowControl/>
              <w:jc w:val="center"/>
              <w:rPr>
                <w:rFonts w:hint="eastAsia" w:ascii="仿宋_GB2312" w:hAnsi="仿宋_GB2312" w:eastAsia="仿宋_GB2312" w:cs="仿宋_GB2312"/>
                <w:sz w:val="32"/>
                <w:szCs w:val="32"/>
                <w:lang w:eastAsia="zh-CN"/>
              </w:rPr>
            </w:pPr>
            <w:r>
              <w:rPr>
                <w:rFonts w:hint="eastAsia" w:ascii="仿宋" w:hAnsi="仿宋" w:eastAsia="仿宋" w:cs="仿宋"/>
                <w:snapToGrid w:val="0"/>
                <w:sz w:val="32"/>
                <w:szCs w:val="32"/>
              </w:rPr>
              <w:t>山河归鉴：张伯驹潘素艺术文献暨书画作品展</w:t>
            </w:r>
          </w:p>
        </w:tc>
        <w:tc>
          <w:tcPr>
            <w:tcW w:w="3556" w:type="dxa"/>
            <w:vMerge w:val="restart"/>
            <w:tcBorders>
              <w:top w:val="single" w:color="auto" w:sz="4" w:space="0"/>
              <w:left w:val="single" w:color="000000" w:sz="8" w:space="0"/>
              <w:bottom w:val="single" w:color="000000" w:sz="8" w:space="0"/>
              <w:right w:val="single" w:color="auto" w:sz="4" w:space="0"/>
            </w:tcBorders>
            <w:vAlign w:val="center"/>
          </w:tcPr>
          <w:p w14:paraId="0603B5B6">
            <w:pPr>
              <w:widowControl/>
              <w:jc w:val="center"/>
              <w:rPr>
                <w:rFonts w:ascii="仿宋_GB2312" w:hAnsi="仿宋_GB2312" w:eastAsia="仿宋_GB2312" w:cs="仿宋_GB2312"/>
                <w:b/>
                <w:sz w:val="32"/>
                <w:szCs w:val="32"/>
              </w:rPr>
            </w:pPr>
            <w:r>
              <w:rPr>
                <w:rFonts w:hint="eastAsia" w:ascii="仿宋_GB2312" w:hAnsi="仿宋_GB2312" w:eastAsia="仿宋_GB2312" w:cs="仿宋_GB2312"/>
                <w:b/>
                <w:sz w:val="32"/>
                <w:szCs w:val="32"/>
              </w:rPr>
              <w:t>产品项目</w:t>
            </w:r>
          </w:p>
        </w:tc>
        <w:tc>
          <w:tcPr>
            <w:tcW w:w="1264" w:type="dxa"/>
            <w:vMerge w:val="restart"/>
            <w:tcBorders>
              <w:top w:val="single" w:color="000000" w:sz="8" w:space="0"/>
              <w:left w:val="single" w:color="auto" w:sz="4" w:space="0"/>
              <w:bottom w:val="single" w:color="000000" w:sz="8" w:space="0"/>
              <w:right w:val="single" w:color="000000" w:sz="8" w:space="0"/>
            </w:tcBorders>
            <w:vAlign w:val="center"/>
          </w:tcPr>
          <w:p w14:paraId="28BCEA14">
            <w:pPr>
              <w:widowControl/>
              <w:jc w:val="center"/>
              <w:rPr>
                <w:rFonts w:ascii="仿宋_GB2312" w:hAnsi="仿宋_GB2312" w:eastAsia="仿宋_GB2312" w:cs="仿宋_GB2312"/>
                <w:b/>
                <w:sz w:val="32"/>
                <w:szCs w:val="32"/>
              </w:rPr>
            </w:pPr>
            <w:r>
              <w:rPr>
                <w:rFonts w:hint="eastAsia" w:ascii="仿宋_GB2312" w:hAnsi="仿宋_GB2312" w:eastAsia="仿宋_GB2312" w:cs="仿宋_GB2312"/>
                <w:b/>
                <w:sz w:val="32"/>
                <w:szCs w:val="32"/>
              </w:rPr>
              <w:t>数量</w:t>
            </w:r>
          </w:p>
        </w:tc>
        <w:tc>
          <w:tcPr>
            <w:tcW w:w="1676" w:type="dxa"/>
            <w:vMerge w:val="restart"/>
            <w:tcBorders>
              <w:top w:val="single" w:color="000000" w:sz="8" w:space="0"/>
              <w:left w:val="single" w:color="000000" w:sz="8" w:space="0"/>
              <w:bottom w:val="single" w:color="000000" w:sz="8" w:space="0"/>
              <w:right w:val="single" w:color="000000" w:sz="8" w:space="0"/>
            </w:tcBorders>
            <w:vAlign w:val="center"/>
          </w:tcPr>
          <w:p w14:paraId="1A2AEC93">
            <w:pPr>
              <w:widowControl/>
              <w:jc w:val="center"/>
              <w:rPr>
                <w:rFonts w:ascii="仿宋_GB2312" w:hAnsi="仿宋_GB2312" w:eastAsia="仿宋_GB2312" w:cs="仿宋_GB2312"/>
                <w:b/>
                <w:sz w:val="32"/>
                <w:szCs w:val="32"/>
              </w:rPr>
            </w:pPr>
            <w:r>
              <w:rPr>
                <w:rFonts w:hint="eastAsia" w:ascii="仿宋_GB2312" w:hAnsi="仿宋_GB2312" w:eastAsia="仿宋_GB2312" w:cs="仿宋_GB2312"/>
                <w:b/>
                <w:sz w:val="32"/>
                <w:szCs w:val="32"/>
              </w:rPr>
              <w:t>单位</w:t>
            </w:r>
          </w:p>
        </w:tc>
      </w:tr>
      <w:tr w14:paraId="384C455D">
        <w:tblPrEx>
          <w:tblCellMar>
            <w:top w:w="0" w:type="dxa"/>
            <w:left w:w="108" w:type="dxa"/>
            <w:bottom w:w="0" w:type="dxa"/>
            <w:right w:w="108" w:type="dxa"/>
          </w:tblCellMar>
        </w:tblPrEx>
        <w:trPr>
          <w:trHeight w:val="624" w:hRule="atLeast"/>
          <w:jc w:val="center"/>
        </w:trPr>
        <w:tc>
          <w:tcPr>
            <w:tcW w:w="1466" w:type="dxa"/>
            <w:vMerge w:val="continue"/>
            <w:tcBorders>
              <w:top w:val="single" w:color="000000" w:sz="8" w:space="0"/>
              <w:left w:val="single" w:color="auto" w:sz="4" w:space="0"/>
              <w:bottom w:val="single" w:color="000000" w:sz="8" w:space="0"/>
              <w:right w:val="single" w:color="000000" w:sz="8" w:space="0"/>
            </w:tcBorders>
            <w:vAlign w:val="center"/>
          </w:tcPr>
          <w:p w14:paraId="35C6A290">
            <w:pPr>
              <w:widowControl/>
              <w:jc w:val="left"/>
              <w:rPr>
                <w:rFonts w:ascii="仿宋_GB2312" w:hAnsi="仿宋_GB2312" w:eastAsia="仿宋_GB2312" w:cs="仿宋_GB2312"/>
                <w:sz w:val="32"/>
                <w:szCs w:val="32"/>
              </w:rPr>
            </w:pPr>
          </w:p>
        </w:tc>
        <w:tc>
          <w:tcPr>
            <w:tcW w:w="3556" w:type="dxa"/>
            <w:vMerge w:val="continue"/>
            <w:tcBorders>
              <w:top w:val="single" w:color="000000" w:sz="8" w:space="0"/>
              <w:left w:val="single" w:color="000000" w:sz="8" w:space="0"/>
              <w:bottom w:val="single" w:color="000000" w:sz="8" w:space="0"/>
              <w:right w:val="single" w:color="auto" w:sz="4" w:space="0"/>
            </w:tcBorders>
            <w:vAlign w:val="center"/>
          </w:tcPr>
          <w:p w14:paraId="19478B85">
            <w:pPr>
              <w:widowControl/>
              <w:jc w:val="left"/>
              <w:rPr>
                <w:rFonts w:ascii="仿宋_GB2312" w:hAnsi="仿宋_GB2312" w:eastAsia="仿宋_GB2312" w:cs="仿宋_GB2312"/>
                <w:sz w:val="32"/>
                <w:szCs w:val="32"/>
              </w:rPr>
            </w:pPr>
          </w:p>
        </w:tc>
        <w:tc>
          <w:tcPr>
            <w:tcW w:w="1264" w:type="dxa"/>
            <w:vMerge w:val="continue"/>
            <w:tcBorders>
              <w:top w:val="single" w:color="000000" w:sz="8" w:space="0"/>
              <w:left w:val="single" w:color="auto" w:sz="4" w:space="0"/>
              <w:bottom w:val="single" w:color="000000" w:sz="8" w:space="0"/>
              <w:right w:val="single" w:color="000000" w:sz="8" w:space="0"/>
            </w:tcBorders>
            <w:vAlign w:val="center"/>
          </w:tcPr>
          <w:p w14:paraId="53A5EE2C">
            <w:pPr>
              <w:widowControl/>
              <w:jc w:val="left"/>
              <w:rPr>
                <w:rFonts w:ascii="仿宋_GB2312" w:hAnsi="仿宋_GB2312" w:eastAsia="仿宋_GB2312" w:cs="仿宋_GB2312"/>
                <w:sz w:val="32"/>
                <w:szCs w:val="32"/>
              </w:rPr>
            </w:pPr>
          </w:p>
        </w:tc>
        <w:tc>
          <w:tcPr>
            <w:tcW w:w="1676" w:type="dxa"/>
            <w:vMerge w:val="continue"/>
            <w:tcBorders>
              <w:top w:val="single" w:color="000000" w:sz="8" w:space="0"/>
              <w:left w:val="single" w:color="000000" w:sz="8" w:space="0"/>
              <w:bottom w:val="single" w:color="000000" w:sz="8" w:space="0"/>
              <w:right w:val="single" w:color="000000" w:sz="8" w:space="0"/>
            </w:tcBorders>
            <w:vAlign w:val="center"/>
          </w:tcPr>
          <w:p w14:paraId="0250975D">
            <w:pPr>
              <w:widowControl/>
              <w:jc w:val="left"/>
              <w:rPr>
                <w:rFonts w:ascii="仿宋_GB2312" w:hAnsi="仿宋_GB2312" w:eastAsia="仿宋_GB2312" w:cs="仿宋_GB2312"/>
                <w:sz w:val="32"/>
                <w:szCs w:val="32"/>
              </w:rPr>
            </w:pPr>
          </w:p>
        </w:tc>
      </w:tr>
      <w:tr w14:paraId="094D36F6">
        <w:tblPrEx>
          <w:tblCellMar>
            <w:top w:w="0" w:type="dxa"/>
            <w:left w:w="108" w:type="dxa"/>
            <w:bottom w:w="0" w:type="dxa"/>
            <w:right w:w="108" w:type="dxa"/>
          </w:tblCellMar>
        </w:tblPrEx>
        <w:trPr>
          <w:trHeight w:val="739" w:hRule="atLeast"/>
          <w:jc w:val="center"/>
        </w:trPr>
        <w:tc>
          <w:tcPr>
            <w:tcW w:w="1466" w:type="dxa"/>
            <w:vMerge w:val="continue"/>
            <w:tcBorders>
              <w:left w:val="single" w:color="auto" w:sz="4" w:space="0"/>
              <w:right w:val="single" w:color="000000" w:sz="8" w:space="0"/>
            </w:tcBorders>
            <w:vAlign w:val="center"/>
          </w:tcPr>
          <w:p w14:paraId="54BCBDC7">
            <w:pPr>
              <w:widowControl/>
              <w:jc w:val="center"/>
              <w:rPr>
                <w:rFonts w:ascii="仿宋_GB2312" w:hAnsi="仿宋_GB2312" w:eastAsia="仿宋_GB2312" w:cs="仿宋_GB2312"/>
                <w:sz w:val="32"/>
                <w:szCs w:val="32"/>
              </w:rPr>
            </w:pPr>
          </w:p>
        </w:tc>
        <w:tc>
          <w:tcPr>
            <w:tcW w:w="3556" w:type="dxa"/>
            <w:tcBorders>
              <w:top w:val="nil"/>
              <w:left w:val="nil"/>
              <w:bottom w:val="single" w:color="000000" w:sz="8" w:space="0"/>
              <w:right w:val="single" w:color="auto" w:sz="4" w:space="0"/>
            </w:tcBorders>
            <w:vAlign w:val="center"/>
          </w:tcPr>
          <w:p w14:paraId="7620769F">
            <w:pPr>
              <w:widowControl/>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展览</w:t>
            </w:r>
            <w:r>
              <w:rPr>
                <w:rFonts w:hint="eastAsia" w:ascii="仿宋_GB2312" w:hAnsi="仿宋_GB2312" w:eastAsia="仿宋_GB2312" w:cs="仿宋_GB2312"/>
                <w:sz w:val="32"/>
                <w:szCs w:val="32"/>
                <w:lang w:eastAsia="zh-CN"/>
              </w:rPr>
              <w:t>空间</w:t>
            </w:r>
            <w:r>
              <w:rPr>
                <w:rFonts w:hint="eastAsia" w:ascii="仿宋_GB2312" w:hAnsi="仿宋_GB2312" w:eastAsia="仿宋_GB2312" w:cs="仿宋_GB2312"/>
                <w:sz w:val="32"/>
                <w:szCs w:val="32"/>
              </w:rPr>
              <w:t>设计</w:t>
            </w:r>
          </w:p>
        </w:tc>
        <w:tc>
          <w:tcPr>
            <w:tcW w:w="1264" w:type="dxa"/>
            <w:tcBorders>
              <w:top w:val="nil"/>
              <w:left w:val="single" w:color="auto" w:sz="4" w:space="0"/>
              <w:bottom w:val="single" w:color="000000" w:sz="8" w:space="0"/>
              <w:right w:val="single" w:color="000000" w:sz="8" w:space="0"/>
            </w:tcBorders>
            <w:vAlign w:val="center"/>
          </w:tcPr>
          <w:p w14:paraId="53647D5E">
            <w:pPr>
              <w:widowControl/>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1</w:t>
            </w:r>
          </w:p>
        </w:tc>
        <w:tc>
          <w:tcPr>
            <w:tcW w:w="1676" w:type="dxa"/>
            <w:tcBorders>
              <w:top w:val="nil"/>
              <w:left w:val="nil"/>
              <w:bottom w:val="single" w:color="000000" w:sz="8" w:space="0"/>
              <w:right w:val="single" w:color="000000" w:sz="8" w:space="0"/>
            </w:tcBorders>
            <w:vAlign w:val="center"/>
          </w:tcPr>
          <w:p w14:paraId="65CA8E58">
            <w:pPr>
              <w:widowControl/>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项</w:t>
            </w:r>
          </w:p>
        </w:tc>
      </w:tr>
      <w:tr w14:paraId="5BEB7D15">
        <w:tblPrEx>
          <w:tblCellMar>
            <w:top w:w="0" w:type="dxa"/>
            <w:left w:w="108" w:type="dxa"/>
            <w:bottom w:w="0" w:type="dxa"/>
            <w:right w:w="108" w:type="dxa"/>
          </w:tblCellMar>
        </w:tblPrEx>
        <w:trPr>
          <w:trHeight w:val="739" w:hRule="atLeast"/>
          <w:jc w:val="center"/>
        </w:trPr>
        <w:tc>
          <w:tcPr>
            <w:tcW w:w="1466" w:type="dxa"/>
            <w:vMerge w:val="continue"/>
            <w:tcBorders>
              <w:left w:val="single" w:color="auto" w:sz="4" w:space="0"/>
              <w:right w:val="single" w:color="000000" w:sz="8" w:space="0"/>
            </w:tcBorders>
            <w:vAlign w:val="center"/>
          </w:tcPr>
          <w:p w14:paraId="3564D8BE">
            <w:pPr>
              <w:widowControl/>
              <w:jc w:val="left"/>
              <w:rPr>
                <w:rFonts w:ascii="仿宋_GB2312" w:hAnsi="仿宋_GB2312" w:eastAsia="仿宋_GB2312" w:cs="仿宋_GB2312"/>
                <w:sz w:val="32"/>
                <w:szCs w:val="32"/>
              </w:rPr>
            </w:pPr>
          </w:p>
        </w:tc>
        <w:tc>
          <w:tcPr>
            <w:tcW w:w="3556" w:type="dxa"/>
            <w:tcBorders>
              <w:top w:val="nil"/>
              <w:left w:val="nil"/>
              <w:bottom w:val="single" w:color="000000" w:sz="8" w:space="0"/>
              <w:right w:val="single" w:color="auto" w:sz="4" w:space="0"/>
            </w:tcBorders>
            <w:vAlign w:val="center"/>
          </w:tcPr>
          <w:p w14:paraId="05D3FFB9">
            <w:pPr>
              <w:widowControl/>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展览</w:t>
            </w:r>
            <w:r>
              <w:rPr>
                <w:rFonts w:hint="eastAsia" w:ascii="仿宋_GB2312" w:hAnsi="仿宋_GB2312" w:eastAsia="仿宋_GB2312" w:cs="仿宋_GB2312"/>
                <w:sz w:val="32"/>
                <w:szCs w:val="32"/>
                <w:lang w:eastAsia="zh-CN"/>
              </w:rPr>
              <w:t>展板</w:t>
            </w:r>
            <w:r>
              <w:rPr>
                <w:rFonts w:hint="eastAsia" w:ascii="仿宋_GB2312" w:hAnsi="仿宋_GB2312" w:eastAsia="仿宋_GB2312" w:cs="仿宋_GB2312"/>
                <w:sz w:val="32"/>
                <w:szCs w:val="32"/>
              </w:rPr>
              <w:t>设计</w:t>
            </w:r>
          </w:p>
        </w:tc>
        <w:tc>
          <w:tcPr>
            <w:tcW w:w="1264" w:type="dxa"/>
            <w:tcBorders>
              <w:top w:val="nil"/>
              <w:left w:val="single" w:color="auto" w:sz="4" w:space="0"/>
              <w:bottom w:val="single" w:color="000000" w:sz="8" w:space="0"/>
              <w:right w:val="single" w:color="000000" w:sz="8" w:space="0"/>
            </w:tcBorders>
            <w:vAlign w:val="center"/>
          </w:tcPr>
          <w:p w14:paraId="67EC2B4F">
            <w:pPr>
              <w:widowControl/>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1</w:t>
            </w:r>
          </w:p>
        </w:tc>
        <w:tc>
          <w:tcPr>
            <w:tcW w:w="1676" w:type="dxa"/>
            <w:tcBorders>
              <w:top w:val="nil"/>
              <w:left w:val="nil"/>
              <w:bottom w:val="single" w:color="000000" w:sz="8" w:space="0"/>
              <w:right w:val="single" w:color="000000" w:sz="8" w:space="0"/>
            </w:tcBorders>
            <w:vAlign w:val="center"/>
          </w:tcPr>
          <w:p w14:paraId="310B8387">
            <w:pPr>
              <w:widowControl/>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项</w:t>
            </w:r>
          </w:p>
        </w:tc>
      </w:tr>
      <w:tr w14:paraId="514E807C">
        <w:tblPrEx>
          <w:tblCellMar>
            <w:top w:w="0" w:type="dxa"/>
            <w:left w:w="108" w:type="dxa"/>
            <w:bottom w:w="0" w:type="dxa"/>
            <w:right w:w="108" w:type="dxa"/>
          </w:tblCellMar>
        </w:tblPrEx>
        <w:trPr>
          <w:trHeight w:val="739" w:hRule="atLeast"/>
          <w:jc w:val="center"/>
        </w:trPr>
        <w:tc>
          <w:tcPr>
            <w:tcW w:w="1466" w:type="dxa"/>
            <w:vMerge w:val="continue"/>
            <w:tcBorders>
              <w:left w:val="single" w:color="auto" w:sz="4" w:space="0"/>
              <w:bottom w:val="single" w:color="auto" w:sz="4" w:space="0"/>
              <w:right w:val="single" w:color="000000" w:sz="8" w:space="0"/>
            </w:tcBorders>
            <w:vAlign w:val="center"/>
          </w:tcPr>
          <w:p w14:paraId="089DBD13">
            <w:pPr>
              <w:widowControl/>
              <w:jc w:val="left"/>
              <w:rPr>
                <w:rFonts w:ascii="仿宋_GB2312" w:hAnsi="仿宋_GB2312" w:eastAsia="仿宋_GB2312" w:cs="仿宋_GB2312"/>
                <w:sz w:val="32"/>
                <w:szCs w:val="32"/>
              </w:rPr>
            </w:pPr>
          </w:p>
        </w:tc>
        <w:tc>
          <w:tcPr>
            <w:tcW w:w="3556" w:type="dxa"/>
            <w:tcBorders>
              <w:top w:val="nil"/>
              <w:left w:val="nil"/>
              <w:bottom w:val="single" w:color="auto" w:sz="4" w:space="0"/>
              <w:right w:val="single" w:color="auto" w:sz="4" w:space="0"/>
            </w:tcBorders>
            <w:vAlign w:val="center"/>
          </w:tcPr>
          <w:p w14:paraId="36FF758A">
            <w:pPr>
              <w:widowControl/>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展板</w:t>
            </w:r>
            <w:r>
              <w:rPr>
                <w:rFonts w:hint="eastAsia" w:ascii="仿宋_GB2312" w:hAnsi="仿宋_GB2312" w:eastAsia="仿宋_GB2312" w:cs="仿宋_GB2312"/>
                <w:sz w:val="32"/>
                <w:szCs w:val="32"/>
                <w:lang w:eastAsia="zh-CN"/>
              </w:rPr>
              <w:t>平面</w:t>
            </w:r>
            <w:r>
              <w:rPr>
                <w:rFonts w:hint="eastAsia" w:ascii="仿宋_GB2312" w:hAnsi="仿宋_GB2312" w:eastAsia="仿宋_GB2312" w:cs="仿宋_GB2312"/>
                <w:sz w:val="32"/>
                <w:szCs w:val="32"/>
              </w:rPr>
              <w:t>设计</w:t>
            </w:r>
          </w:p>
        </w:tc>
        <w:tc>
          <w:tcPr>
            <w:tcW w:w="1264" w:type="dxa"/>
            <w:tcBorders>
              <w:top w:val="nil"/>
              <w:left w:val="single" w:color="auto" w:sz="4" w:space="0"/>
              <w:bottom w:val="single" w:color="000000" w:sz="8" w:space="0"/>
              <w:right w:val="single" w:color="000000" w:sz="8" w:space="0"/>
            </w:tcBorders>
            <w:vAlign w:val="center"/>
          </w:tcPr>
          <w:p w14:paraId="57F71575">
            <w:pPr>
              <w:widowControl/>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1</w:t>
            </w:r>
          </w:p>
        </w:tc>
        <w:tc>
          <w:tcPr>
            <w:tcW w:w="1676" w:type="dxa"/>
            <w:tcBorders>
              <w:top w:val="nil"/>
              <w:left w:val="nil"/>
              <w:bottom w:val="single" w:color="000000" w:sz="8" w:space="0"/>
              <w:right w:val="single" w:color="000000" w:sz="8" w:space="0"/>
            </w:tcBorders>
            <w:vAlign w:val="center"/>
          </w:tcPr>
          <w:p w14:paraId="53329354">
            <w:pPr>
              <w:widowControl/>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项</w:t>
            </w:r>
          </w:p>
        </w:tc>
      </w:tr>
    </w:tbl>
    <w:p w14:paraId="77879EDE">
      <w:pPr>
        <w:spacing w:line="600" w:lineRule="exact"/>
        <w:ind w:firstLine="643" w:firstLineChars="200"/>
        <w:outlineLvl w:val="1"/>
        <w:rPr>
          <w:rFonts w:hint="eastAsia" w:ascii="宋体" w:hAnsi="宋体" w:eastAsia="宋体" w:cs="宋体"/>
          <w:b/>
          <w:sz w:val="32"/>
          <w:szCs w:val="32"/>
        </w:rPr>
      </w:pPr>
    </w:p>
    <w:p w14:paraId="0B903017">
      <w:pPr>
        <w:spacing w:line="600" w:lineRule="exact"/>
        <w:ind w:firstLine="643" w:firstLineChars="200"/>
        <w:outlineLvl w:val="1"/>
        <w:rPr>
          <w:rFonts w:hint="eastAsia" w:ascii="仿宋" w:hAnsi="仿宋" w:eastAsia="仿宋" w:cs="仿宋"/>
          <w:b/>
          <w:sz w:val="32"/>
          <w:szCs w:val="32"/>
        </w:rPr>
      </w:pPr>
      <w:r>
        <w:rPr>
          <w:rFonts w:hint="eastAsia" w:ascii="仿宋" w:hAnsi="仿宋" w:eastAsia="仿宋" w:cs="仿宋"/>
          <w:b/>
          <w:sz w:val="32"/>
          <w:szCs w:val="32"/>
        </w:rPr>
        <w:t>四、商务要求</w:t>
      </w:r>
      <w:bookmarkEnd w:id="11"/>
    </w:p>
    <w:p w14:paraId="7D8A5A20">
      <w:pPr>
        <w:spacing w:line="600" w:lineRule="exact"/>
        <w:ind w:firstLine="643" w:firstLineChars="200"/>
        <w:outlineLvl w:val="1"/>
        <w:rPr>
          <w:rFonts w:hint="eastAsia" w:ascii="仿宋" w:hAnsi="仿宋" w:eastAsia="仿宋" w:cs="仿宋"/>
          <w:b/>
          <w:sz w:val="32"/>
          <w:szCs w:val="32"/>
        </w:rPr>
      </w:pPr>
      <w:bookmarkStart w:id="12" w:name="_Toc419986864"/>
      <w:bookmarkStart w:id="13" w:name="_Toc419986984"/>
      <w:r>
        <w:rPr>
          <w:rFonts w:hint="eastAsia" w:ascii="仿宋" w:hAnsi="仿宋" w:eastAsia="仿宋" w:cs="仿宋"/>
          <w:b/>
          <w:sz w:val="32"/>
          <w:szCs w:val="32"/>
        </w:rPr>
        <w:t>（一）服务地点与时间</w:t>
      </w:r>
      <w:bookmarkEnd w:id="12"/>
      <w:bookmarkEnd w:id="13"/>
    </w:p>
    <w:p w14:paraId="34D962FF">
      <w:pPr>
        <w:spacing w:line="600" w:lineRule="exact"/>
        <w:ind w:left="424" w:leftChars="202" w:firstLine="476" w:firstLineChars="149"/>
        <w:rPr>
          <w:rFonts w:hint="eastAsia" w:ascii="仿宋" w:hAnsi="仿宋" w:eastAsia="仿宋" w:cs="仿宋"/>
          <w:sz w:val="32"/>
          <w:szCs w:val="32"/>
        </w:rPr>
      </w:pPr>
      <w:bookmarkStart w:id="14" w:name="_Toc419986985"/>
      <w:r>
        <w:rPr>
          <w:rFonts w:hint="eastAsia" w:ascii="仿宋" w:hAnsi="仿宋" w:eastAsia="仿宋" w:cs="仿宋"/>
          <w:kern w:val="0"/>
          <w:sz w:val="32"/>
          <w:szCs w:val="32"/>
        </w:rPr>
        <w:t>1、</w:t>
      </w:r>
      <w:r>
        <w:rPr>
          <w:rFonts w:hint="eastAsia" w:ascii="仿宋" w:hAnsi="仿宋" w:eastAsia="仿宋" w:cs="仿宋"/>
          <w:sz w:val="32"/>
          <w:szCs w:val="32"/>
        </w:rPr>
        <w:t>服务地点：何香凝美术馆</w:t>
      </w:r>
      <w:bookmarkEnd w:id="14"/>
    </w:p>
    <w:p w14:paraId="4E885982">
      <w:pPr>
        <w:spacing w:line="600" w:lineRule="exact"/>
        <w:ind w:left="424" w:leftChars="202" w:firstLine="476" w:firstLineChars="149"/>
        <w:rPr>
          <w:rFonts w:hint="eastAsia" w:ascii="仿宋" w:hAnsi="仿宋" w:eastAsia="仿宋" w:cs="仿宋"/>
          <w:sz w:val="32"/>
          <w:szCs w:val="32"/>
          <w:highlight w:val="none"/>
          <w:lang w:val="en-US"/>
        </w:rPr>
      </w:pPr>
      <w:bookmarkStart w:id="15" w:name="_Toc419986986"/>
      <w:r>
        <w:rPr>
          <w:rFonts w:hint="eastAsia" w:ascii="仿宋" w:hAnsi="仿宋" w:eastAsia="仿宋" w:cs="仿宋"/>
          <w:kern w:val="0"/>
          <w:sz w:val="32"/>
          <w:szCs w:val="32"/>
        </w:rPr>
        <w:t>2、</w:t>
      </w:r>
      <w:r>
        <w:rPr>
          <w:rFonts w:hint="eastAsia" w:ascii="仿宋" w:hAnsi="仿宋" w:eastAsia="仿宋" w:cs="仿宋"/>
          <w:sz w:val="32"/>
          <w:szCs w:val="32"/>
        </w:rPr>
        <w:t>服务期限：</w:t>
      </w:r>
      <w:bookmarkEnd w:id="15"/>
      <w:r>
        <w:rPr>
          <w:rFonts w:hint="eastAsia" w:ascii="仿宋" w:hAnsi="仿宋" w:eastAsia="仿宋" w:cs="仿宋"/>
          <w:sz w:val="32"/>
          <w:szCs w:val="32"/>
          <w:highlight w:val="none"/>
        </w:rPr>
        <w:t>202</w:t>
      </w:r>
      <w:r>
        <w:rPr>
          <w:rFonts w:hint="eastAsia" w:ascii="仿宋" w:hAnsi="仿宋" w:eastAsia="仿宋" w:cs="仿宋"/>
          <w:sz w:val="32"/>
          <w:szCs w:val="32"/>
          <w:highlight w:val="none"/>
          <w:lang w:val="en-US" w:eastAsia="zh-CN"/>
        </w:rPr>
        <w:t>6</w:t>
      </w:r>
      <w:r>
        <w:rPr>
          <w:rFonts w:hint="eastAsia" w:ascii="仿宋" w:hAnsi="仿宋" w:eastAsia="仿宋" w:cs="仿宋"/>
          <w:sz w:val="32"/>
          <w:szCs w:val="32"/>
          <w:highlight w:val="none"/>
          <w:lang w:eastAsia="zh-CN"/>
        </w:rPr>
        <w:t>年</w:t>
      </w:r>
      <w:r>
        <w:rPr>
          <w:rFonts w:hint="eastAsia" w:ascii="仿宋" w:hAnsi="仿宋" w:eastAsia="仿宋" w:cs="仿宋"/>
          <w:sz w:val="32"/>
          <w:szCs w:val="32"/>
          <w:highlight w:val="none"/>
          <w:lang w:val="en-US" w:eastAsia="zh-CN"/>
        </w:rPr>
        <w:t>9月-2026年12月</w:t>
      </w:r>
    </w:p>
    <w:p w14:paraId="0E7BB92B">
      <w:pPr>
        <w:spacing w:line="600" w:lineRule="exact"/>
        <w:ind w:firstLine="643" w:firstLineChars="200"/>
        <w:outlineLvl w:val="1"/>
        <w:rPr>
          <w:rFonts w:hint="eastAsia" w:ascii="仿宋" w:hAnsi="仿宋" w:eastAsia="仿宋" w:cs="仿宋"/>
          <w:b/>
          <w:sz w:val="32"/>
          <w:szCs w:val="32"/>
        </w:rPr>
      </w:pPr>
      <w:bookmarkStart w:id="16" w:name="_Toc419986987"/>
      <w:r>
        <w:rPr>
          <w:rFonts w:hint="eastAsia" w:ascii="仿宋" w:hAnsi="仿宋" w:eastAsia="仿宋" w:cs="仿宋"/>
          <w:b/>
          <w:sz w:val="32"/>
          <w:szCs w:val="32"/>
        </w:rPr>
        <w:t>（二）付款条件</w:t>
      </w:r>
      <w:bookmarkEnd w:id="16"/>
    </w:p>
    <w:p w14:paraId="440A6760">
      <w:pPr>
        <w:spacing w:line="600" w:lineRule="exact"/>
        <w:ind w:firstLine="640" w:firstLineChars="200"/>
        <w:outlineLvl w:val="1"/>
        <w:rPr>
          <w:rFonts w:hint="eastAsia" w:ascii="仿宋" w:hAnsi="仿宋" w:eastAsia="仿宋" w:cs="仿宋"/>
          <w:sz w:val="32"/>
          <w:szCs w:val="32"/>
          <w:lang w:eastAsia="zh-CN"/>
        </w:rPr>
      </w:pPr>
      <w:bookmarkStart w:id="17" w:name="_Toc419986989"/>
      <w:r>
        <w:rPr>
          <w:rFonts w:hint="eastAsia" w:ascii="仿宋" w:hAnsi="仿宋" w:eastAsia="仿宋" w:cs="仿宋"/>
          <w:sz w:val="32"/>
          <w:szCs w:val="32"/>
        </w:rPr>
        <w:t>货款分</w:t>
      </w:r>
      <w:r>
        <w:rPr>
          <w:rFonts w:hint="eastAsia" w:ascii="仿宋" w:hAnsi="仿宋" w:eastAsia="仿宋" w:cs="仿宋"/>
          <w:sz w:val="32"/>
          <w:szCs w:val="32"/>
          <w:lang w:val="en-US" w:eastAsia="zh-CN"/>
        </w:rPr>
        <w:t>两</w:t>
      </w:r>
      <w:r>
        <w:rPr>
          <w:rFonts w:hint="eastAsia" w:ascii="仿宋" w:hAnsi="仿宋" w:eastAsia="仿宋" w:cs="仿宋"/>
          <w:sz w:val="32"/>
          <w:szCs w:val="32"/>
        </w:rPr>
        <w:t>期支付：（1）第一期：招标人在与投标人签订合同后支付合同金额</w:t>
      </w:r>
      <w:r>
        <w:rPr>
          <w:rFonts w:hint="eastAsia" w:ascii="仿宋" w:hAnsi="仿宋" w:eastAsia="仿宋" w:cs="仿宋"/>
          <w:sz w:val="32"/>
          <w:szCs w:val="32"/>
          <w:lang w:val="en-US" w:eastAsia="zh-CN"/>
        </w:rPr>
        <w:t>5</w:t>
      </w:r>
      <w:r>
        <w:rPr>
          <w:rFonts w:hint="eastAsia" w:ascii="仿宋" w:hAnsi="仿宋" w:eastAsia="仿宋" w:cs="仿宋"/>
          <w:sz w:val="32"/>
          <w:szCs w:val="32"/>
        </w:rPr>
        <w:t>0%</w:t>
      </w:r>
      <w:r>
        <w:rPr>
          <w:rFonts w:hint="eastAsia" w:ascii="仿宋" w:hAnsi="仿宋" w:eastAsia="仿宋" w:cs="仿宋"/>
          <w:sz w:val="32"/>
          <w:szCs w:val="32"/>
          <w:lang w:eastAsia="zh-CN"/>
        </w:rPr>
        <w:t>；</w:t>
      </w:r>
    </w:p>
    <w:p w14:paraId="3B83A3EE">
      <w:pPr>
        <w:numPr>
          <w:ilvl w:val="0"/>
          <w:numId w:val="3"/>
        </w:numPr>
        <w:spacing w:line="600" w:lineRule="exact"/>
        <w:ind w:firstLine="640"/>
        <w:outlineLvl w:val="1"/>
        <w:rPr>
          <w:rFonts w:hint="eastAsia" w:ascii="仿宋" w:hAnsi="仿宋" w:eastAsia="仿宋" w:cs="仿宋"/>
          <w:sz w:val="32"/>
          <w:szCs w:val="32"/>
        </w:rPr>
      </w:pPr>
      <w:r>
        <w:rPr>
          <w:rFonts w:hint="eastAsia" w:ascii="仿宋" w:hAnsi="仿宋" w:eastAsia="仿宋" w:cs="仿宋"/>
          <w:sz w:val="32"/>
          <w:szCs w:val="32"/>
        </w:rPr>
        <w:t>第二期：在投标人设计制作完成后，招标人向投标人支付合同金额</w:t>
      </w:r>
      <w:r>
        <w:rPr>
          <w:rFonts w:hint="eastAsia" w:ascii="仿宋" w:hAnsi="仿宋" w:eastAsia="仿宋" w:cs="仿宋"/>
          <w:sz w:val="32"/>
          <w:szCs w:val="32"/>
          <w:lang w:val="en-US" w:eastAsia="zh-CN"/>
        </w:rPr>
        <w:t>5</w:t>
      </w:r>
      <w:r>
        <w:rPr>
          <w:rFonts w:hint="eastAsia" w:ascii="仿宋" w:hAnsi="仿宋" w:eastAsia="仿宋" w:cs="仿宋"/>
          <w:sz w:val="32"/>
          <w:szCs w:val="32"/>
        </w:rPr>
        <w:t>0%。</w:t>
      </w:r>
    </w:p>
    <w:p w14:paraId="0F68C27B">
      <w:pPr>
        <w:spacing w:line="600" w:lineRule="exact"/>
        <w:ind w:firstLine="643" w:firstLineChars="200"/>
        <w:outlineLvl w:val="1"/>
        <w:rPr>
          <w:rFonts w:hint="eastAsia" w:ascii="仿宋" w:hAnsi="仿宋" w:eastAsia="仿宋" w:cs="仿宋"/>
          <w:b/>
          <w:sz w:val="32"/>
          <w:szCs w:val="32"/>
        </w:rPr>
      </w:pPr>
      <w:r>
        <w:rPr>
          <w:rFonts w:hint="eastAsia" w:ascii="仿宋" w:hAnsi="仿宋" w:eastAsia="仿宋" w:cs="仿宋"/>
          <w:b/>
          <w:sz w:val="32"/>
          <w:szCs w:val="32"/>
        </w:rPr>
        <w:t>（三）项目负责人验收</w:t>
      </w:r>
      <w:bookmarkEnd w:id="17"/>
    </w:p>
    <w:p w14:paraId="00BA0890">
      <w:pPr>
        <w:spacing w:line="600" w:lineRule="exact"/>
        <w:ind w:firstLine="640" w:firstLineChars="200"/>
        <w:rPr>
          <w:rFonts w:hint="eastAsia" w:ascii="仿宋" w:hAnsi="仿宋" w:eastAsia="仿宋" w:cs="仿宋"/>
          <w:sz w:val="32"/>
          <w:szCs w:val="32"/>
        </w:rPr>
      </w:pPr>
      <w:bookmarkStart w:id="18" w:name="_Toc419986991"/>
      <w:r>
        <w:rPr>
          <w:rFonts w:hint="eastAsia" w:ascii="仿宋" w:hAnsi="仿宋" w:eastAsia="仿宋" w:cs="仿宋"/>
          <w:sz w:val="32"/>
          <w:szCs w:val="32"/>
        </w:rPr>
        <w:t>1、投标人设计经过馆方确认可后，签署确认文件。</w:t>
      </w:r>
    </w:p>
    <w:p w14:paraId="21AF4471">
      <w:pPr>
        <w:spacing w:line="600" w:lineRule="exact"/>
        <w:ind w:firstLine="643" w:firstLineChars="200"/>
        <w:outlineLvl w:val="1"/>
        <w:rPr>
          <w:rFonts w:hint="eastAsia" w:ascii="仿宋" w:hAnsi="仿宋" w:eastAsia="仿宋" w:cs="仿宋"/>
          <w:b/>
          <w:sz w:val="32"/>
          <w:szCs w:val="32"/>
        </w:rPr>
      </w:pPr>
      <w:r>
        <w:rPr>
          <w:rFonts w:hint="eastAsia" w:ascii="仿宋" w:hAnsi="仿宋" w:eastAsia="仿宋" w:cs="仿宋"/>
          <w:b/>
          <w:sz w:val="32"/>
          <w:szCs w:val="32"/>
        </w:rPr>
        <w:t>（四）服务保障及相应的时间要求</w:t>
      </w:r>
      <w:bookmarkEnd w:id="18"/>
    </w:p>
    <w:p w14:paraId="24FCD73A">
      <w:pPr>
        <w:spacing w:line="600" w:lineRule="exact"/>
        <w:ind w:firstLine="640" w:firstLineChars="200"/>
        <w:rPr>
          <w:rFonts w:hint="eastAsia" w:ascii="仿宋" w:hAnsi="仿宋" w:eastAsia="仿宋" w:cs="仿宋"/>
          <w:sz w:val="32"/>
          <w:szCs w:val="32"/>
        </w:rPr>
      </w:pPr>
      <w:bookmarkStart w:id="19" w:name="_Toc419986996"/>
      <w:r>
        <w:rPr>
          <w:rFonts w:hint="eastAsia" w:ascii="仿宋" w:hAnsi="仿宋" w:eastAsia="仿宋" w:cs="仿宋"/>
          <w:sz w:val="32"/>
          <w:szCs w:val="32"/>
        </w:rPr>
        <w:t>投标方应在合同生效后，根据展览及项目负责人工作计划，向项目负责人提供详细的设计准备条件及设计进度。设计期间双方保持良好沟通，根据展览情况进行调整。设计完成后，将所有设计最终版的电子文件进行刻录并发送给项目负责人存档。</w:t>
      </w:r>
    </w:p>
    <w:p w14:paraId="730DF065">
      <w:pPr>
        <w:spacing w:line="600" w:lineRule="exact"/>
        <w:ind w:firstLine="643" w:firstLineChars="200"/>
        <w:outlineLvl w:val="1"/>
        <w:rPr>
          <w:rFonts w:hint="eastAsia" w:ascii="仿宋" w:hAnsi="仿宋" w:eastAsia="仿宋" w:cs="仿宋"/>
          <w:b/>
          <w:sz w:val="32"/>
          <w:szCs w:val="32"/>
        </w:rPr>
      </w:pPr>
      <w:r>
        <w:rPr>
          <w:rFonts w:hint="eastAsia" w:ascii="仿宋" w:hAnsi="仿宋" w:eastAsia="仿宋" w:cs="仿宋"/>
          <w:b/>
          <w:sz w:val="32"/>
          <w:szCs w:val="32"/>
        </w:rPr>
        <w:t>（五）服务时间</w:t>
      </w:r>
      <w:bookmarkEnd w:id="19"/>
    </w:p>
    <w:p w14:paraId="3BAC44C8">
      <w:pPr>
        <w:spacing w:line="6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根据展览及项目负责人工作计划提供服务。</w:t>
      </w:r>
    </w:p>
    <w:p w14:paraId="41BB9D4A">
      <w:pPr>
        <w:spacing w:line="600" w:lineRule="exact"/>
        <w:ind w:firstLine="643" w:firstLineChars="200"/>
        <w:rPr>
          <w:rFonts w:hint="eastAsia" w:ascii="仿宋" w:hAnsi="仿宋" w:eastAsia="仿宋" w:cs="仿宋"/>
          <w:b/>
          <w:sz w:val="32"/>
          <w:szCs w:val="32"/>
        </w:rPr>
      </w:pPr>
      <w:r>
        <w:rPr>
          <w:rFonts w:hint="eastAsia" w:ascii="仿宋" w:hAnsi="仿宋" w:eastAsia="仿宋" w:cs="仿宋"/>
          <w:b/>
          <w:sz w:val="32"/>
          <w:szCs w:val="32"/>
        </w:rPr>
        <w:t>（六）售后服务</w:t>
      </w:r>
    </w:p>
    <w:p w14:paraId="64DE28D6">
      <w:pPr>
        <w:spacing w:line="600" w:lineRule="exact"/>
        <w:ind w:firstLine="643" w:firstLineChars="200"/>
        <w:rPr>
          <w:rFonts w:hint="eastAsia" w:ascii="仿宋" w:hAnsi="仿宋" w:eastAsia="仿宋" w:cs="仿宋"/>
          <w:sz w:val="32"/>
          <w:szCs w:val="32"/>
          <w:lang w:eastAsia="zh-CN"/>
        </w:rPr>
      </w:pPr>
      <w:r>
        <w:rPr>
          <w:rFonts w:hint="eastAsia" w:ascii="仿宋" w:hAnsi="仿宋" w:eastAsia="仿宋" w:cs="仿宋"/>
          <w:b/>
          <w:sz w:val="32"/>
          <w:szCs w:val="32"/>
        </w:rPr>
        <w:t xml:space="preserve"> </w:t>
      </w:r>
      <w:r>
        <w:rPr>
          <w:rFonts w:hint="eastAsia" w:ascii="仿宋" w:hAnsi="仿宋" w:eastAsia="仿宋" w:cs="仿宋"/>
          <w:sz w:val="32"/>
          <w:szCs w:val="32"/>
        </w:rPr>
        <w:t>暂无</w:t>
      </w:r>
      <w:r>
        <w:rPr>
          <w:rFonts w:hint="eastAsia" w:ascii="仿宋" w:hAnsi="仿宋" w:eastAsia="仿宋" w:cs="仿宋"/>
          <w:sz w:val="32"/>
          <w:szCs w:val="32"/>
          <w:lang w:eastAsia="zh-CN"/>
        </w:rPr>
        <w:t>。</w:t>
      </w:r>
    </w:p>
    <w:p w14:paraId="70B55983">
      <w:pPr>
        <w:spacing w:line="600" w:lineRule="exact"/>
        <w:ind w:firstLine="640" w:firstLineChars="200"/>
        <w:rPr>
          <w:rFonts w:hint="eastAsia" w:ascii="仿宋" w:hAnsi="仿宋" w:eastAsia="仿宋" w:cs="仿宋"/>
          <w:sz w:val="32"/>
          <w:szCs w:val="32"/>
        </w:rPr>
      </w:pPr>
    </w:p>
    <w:p w14:paraId="5C897D48">
      <w:pPr>
        <w:spacing w:line="600" w:lineRule="exact"/>
        <w:ind w:firstLine="640" w:firstLineChars="200"/>
        <w:rPr>
          <w:rFonts w:hint="eastAsia" w:ascii="仿宋_GB2312" w:hAnsi="仿宋_GB2312" w:eastAsia="仿宋_GB2312" w:cs="仿宋_GB2312"/>
          <w:sz w:val="32"/>
          <w:szCs w:val="32"/>
        </w:rPr>
      </w:pPr>
      <w:r>
        <w:rPr>
          <w:rFonts w:hint="eastAsia" w:ascii="仿宋" w:hAnsi="仿宋" w:eastAsia="仿宋" w:cs="仿宋"/>
          <w:sz w:val="32"/>
          <w:szCs w:val="32"/>
        </w:rPr>
        <w:t>本需求书由何香凝美术馆办公室制定并解释，自印发之日起施行。</w:t>
      </w:r>
    </w:p>
    <w:sectPr>
      <w:pgSz w:w="11906" w:h="16838"/>
      <w:pgMar w:top="1440" w:right="1266" w:bottom="1440" w:left="14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4A49E378-ACFA-4C54-9CC4-A99D4A09D74F}"/>
  </w:font>
  <w:font w:name="Microsoft JhengHei">
    <w:panose1 w:val="020B0604030504040204"/>
    <w:charset w:val="88"/>
    <w:family w:val="swiss"/>
    <w:pitch w:val="default"/>
    <w:sig w:usb0="000002A7" w:usb1="28CF4400" w:usb2="00000016" w:usb3="00000000" w:csb0="00100009" w:csb1="00000000"/>
  </w:font>
  <w:font w:name="仿宋">
    <w:panose1 w:val="02010609060101010101"/>
    <w:charset w:val="86"/>
    <w:family w:val="auto"/>
    <w:pitch w:val="default"/>
    <w:sig w:usb0="800002BF" w:usb1="38CF7CFA" w:usb2="00000016" w:usb3="00000000" w:csb0="00040001" w:csb1="00000000"/>
    <w:embedRegular r:id="rId2" w:fontKey="{2AFE91E4-953A-475D-B842-11DB7C356072}"/>
  </w:font>
  <w:font w:name="方正小标宋简体">
    <w:panose1 w:val="02000000000000000000"/>
    <w:charset w:val="86"/>
    <w:family w:val="auto"/>
    <w:pitch w:val="default"/>
    <w:sig w:usb0="00000001" w:usb1="08000000" w:usb2="00000000" w:usb3="00000000" w:csb0="00040000" w:csb1="00000000"/>
    <w:embedRegular r:id="rId3" w:fontKey="{DB5FF515-A932-4595-BC4B-483E81401E87}"/>
  </w:font>
  <w:font w:name="仿宋_GB2312">
    <w:panose1 w:val="02010609030101010101"/>
    <w:charset w:val="86"/>
    <w:family w:val="auto"/>
    <w:pitch w:val="default"/>
    <w:sig w:usb0="00000001" w:usb1="080E0000" w:usb2="00000000" w:usb3="00000000" w:csb0="00040000" w:csb1="00000000"/>
    <w:embedRegular r:id="rId4" w:fontKey="{C662DA83-3DA5-4815-9642-ED090BAE9AE3}"/>
  </w:font>
  <w:font w:name="WPSEMBED48">
    <w:panose1 w:val="02000000000000000000"/>
    <w:charset w:val="86"/>
    <w:family w:val="auto"/>
    <w:pitch w:val="default"/>
    <w:sig w:usb0="00000001" w:usb1="08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1EB221C"/>
    <w:multiLevelType w:val="singleLevel"/>
    <w:tmpl w:val="B1EB221C"/>
    <w:lvl w:ilvl="0" w:tentative="0">
      <w:start w:val="3"/>
      <w:numFmt w:val="chineseCounting"/>
      <w:suff w:val="nothing"/>
      <w:lvlText w:val="（%1）"/>
      <w:lvlJc w:val="left"/>
      <w:rPr>
        <w:rFonts w:hint="eastAsia"/>
      </w:rPr>
    </w:lvl>
  </w:abstractNum>
  <w:abstractNum w:abstractNumId="1">
    <w:nsid w:val="17EF04DB"/>
    <w:multiLevelType w:val="singleLevel"/>
    <w:tmpl w:val="17EF04DB"/>
    <w:lvl w:ilvl="0" w:tentative="0">
      <w:start w:val="2"/>
      <w:numFmt w:val="decimal"/>
      <w:suff w:val="nothing"/>
      <w:lvlText w:val="（%1）"/>
      <w:lvlJc w:val="left"/>
    </w:lvl>
  </w:abstractNum>
  <w:abstractNum w:abstractNumId="2">
    <w:nsid w:val="18F051B8"/>
    <w:multiLevelType w:val="singleLevel"/>
    <w:tmpl w:val="18F051B8"/>
    <w:lvl w:ilvl="0" w:tentative="0">
      <w:start w:val="2"/>
      <w:numFmt w:val="decimal"/>
      <w:suff w:val="nothing"/>
      <w:lvlText w:val="%1、"/>
      <w:lvlJc w:val="left"/>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attachedTemplate r:id="rId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M4NzU5YTY4ZDQ5YzBkMmEzZThiZjY0ZmY2MjQ5YWMifQ=="/>
  </w:docVars>
  <w:rsids>
    <w:rsidRoot w:val="209F3FF6"/>
    <w:rsid w:val="00020CA0"/>
    <w:rsid w:val="00023E65"/>
    <w:rsid w:val="0006452E"/>
    <w:rsid w:val="000E2E4A"/>
    <w:rsid w:val="000E44D7"/>
    <w:rsid w:val="0011549A"/>
    <w:rsid w:val="00127DFB"/>
    <w:rsid w:val="00150042"/>
    <w:rsid w:val="001516A0"/>
    <w:rsid w:val="00162274"/>
    <w:rsid w:val="001C1771"/>
    <w:rsid w:val="001E467E"/>
    <w:rsid w:val="0024632B"/>
    <w:rsid w:val="00314225"/>
    <w:rsid w:val="00390346"/>
    <w:rsid w:val="003E4C84"/>
    <w:rsid w:val="0040181D"/>
    <w:rsid w:val="004B0750"/>
    <w:rsid w:val="004F3FDE"/>
    <w:rsid w:val="00501DD6"/>
    <w:rsid w:val="00512504"/>
    <w:rsid w:val="0058162A"/>
    <w:rsid w:val="005F7BF8"/>
    <w:rsid w:val="006020CB"/>
    <w:rsid w:val="006556C1"/>
    <w:rsid w:val="00686AE0"/>
    <w:rsid w:val="00712EB1"/>
    <w:rsid w:val="007E0F5C"/>
    <w:rsid w:val="00832C9E"/>
    <w:rsid w:val="008722F7"/>
    <w:rsid w:val="00897C18"/>
    <w:rsid w:val="008B467A"/>
    <w:rsid w:val="008C33E2"/>
    <w:rsid w:val="008F109E"/>
    <w:rsid w:val="00940FCA"/>
    <w:rsid w:val="009A32C9"/>
    <w:rsid w:val="009E21F3"/>
    <w:rsid w:val="00A92197"/>
    <w:rsid w:val="00A93B02"/>
    <w:rsid w:val="00AB581A"/>
    <w:rsid w:val="00AD0BD0"/>
    <w:rsid w:val="00AD40A0"/>
    <w:rsid w:val="00AD7CC1"/>
    <w:rsid w:val="00AF2461"/>
    <w:rsid w:val="00B370B0"/>
    <w:rsid w:val="00B75F23"/>
    <w:rsid w:val="00B8194C"/>
    <w:rsid w:val="00BA7F6E"/>
    <w:rsid w:val="00BB1F2B"/>
    <w:rsid w:val="00BB3D61"/>
    <w:rsid w:val="00C0628A"/>
    <w:rsid w:val="00C06FB5"/>
    <w:rsid w:val="00C401C2"/>
    <w:rsid w:val="00C73A6F"/>
    <w:rsid w:val="00C8142E"/>
    <w:rsid w:val="00CE50E5"/>
    <w:rsid w:val="00D12BE1"/>
    <w:rsid w:val="00D650ED"/>
    <w:rsid w:val="00DF384F"/>
    <w:rsid w:val="00E65023"/>
    <w:rsid w:val="00E86001"/>
    <w:rsid w:val="00E8646B"/>
    <w:rsid w:val="00EA0FD5"/>
    <w:rsid w:val="00FE5AE6"/>
    <w:rsid w:val="01305A76"/>
    <w:rsid w:val="013A6836"/>
    <w:rsid w:val="02C33A46"/>
    <w:rsid w:val="05CA4462"/>
    <w:rsid w:val="082C4AF3"/>
    <w:rsid w:val="087F2384"/>
    <w:rsid w:val="08D53AF6"/>
    <w:rsid w:val="0DB434A9"/>
    <w:rsid w:val="0E356185"/>
    <w:rsid w:val="0ECF2005"/>
    <w:rsid w:val="0F354343"/>
    <w:rsid w:val="10192BB2"/>
    <w:rsid w:val="11D92A5B"/>
    <w:rsid w:val="12BE49AF"/>
    <w:rsid w:val="16042B1F"/>
    <w:rsid w:val="161F245A"/>
    <w:rsid w:val="17822638"/>
    <w:rsid w:val="18444678"/>
    <w:rsid w:val="19236BF8"/>
    <w:rsid w:val="198545AA"/>
    <w:rsid w:val="1AB41328"/>
    <w:rsid w:val="1CFF131B"/>
    <w:rsid w:val="1F52477E"/>
    <w:rsid w:val="2098686D"/>
    <w:rsid w:val="209F3FF6"/>
    <w:rsid w:val="245432B0"/>
    <w:rsid w:val="2637116D"/>
    <w:rsid w:val="2697352D"/>
    <w:rsid w:val="26E627DF"/>
    <w:rsid w:val="27E0273B"/>
    <w:rsid w:val="283A62D5"/>
    <w:rsid w:val="2C762FB4"/>
    <w:rsid w:val="2CBB1D2E"/>
    <w:rsid w:val="2D3D2D3F"/>
    <w:rsid w:val="2D5F45B5"/>
    <w:rsid w:val="2D8810E6"/>
    <w:rsid w:val="2EBD3658"/>
    <w:rsid w:val="33652E39"/>
    <w:rsid w:val="343C657E"/>
    <w:rsid w:val="38F11EFC"/>
    <w:rsid w:val="39414920"/>
    <w:rsid w:val="39FE466C"/>
    <w:rsid w:val="3CD1590F"/>
    <w:rsid w:val="42332734"/>
    <w:rsid w:val="46EF5460"/>
    <w:rsid w:val="47B0255F"/>
    <w:rsid w:val="4A6D61DA"/>
    <w:rsid w:val="4CCE037B"/>
    <w:rsid w:val="4E6E1F29"/>
    <w:rsid w:val="4F5A5106"/>
    <w:rsid w:val="4FE6757E"/>
    <w:rsid w:val="50D4282F"/>
    <w:rsid w:val="51071D8F"/>
    <w:rsid w:val="526902B5"/>
    <w:rsid w:val="527B555D"/>
    <w:rsid w:val="52883ED1"/>
    <w:rsid w:val="55AA42E8"/>
    <w:rsid w:val="58883CDF"/>
    <w:rsid w:val="59E32478"/>
    <w:rsid w:val="5A093CA2"/>
    <w:rsid w:val="5EAE0389"/>
    <w:rsid w:val="5FDC7F30"/>
    <w:rsid w:val="6161331D"/>
    <w:rsid w:val="6A7A59E2"/>
    <w:rsid w:val="6ADA784B"/>
    <w:rsid w:val="6C8E07F9"/>
    <w:rsid w:val="6D535020"/>
    <w:rsid w:val="6D9F2D69"/>
    <w:rsid w:val="6E780066"/>
    <w:rsid w:val="71C3758B"/>
    <w:rsid w:val="727A14FE"/>
    <w:rsid w:val="77F220C9"/>
    <w:rsid w:val="780F283F"/>
    <w:rsid w:val="7D4129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1"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7"/>
    <w:autoRedefine/>
    <w:qFormat/>
    <w:uiPriority w:val="0"/>
    <w:pPr>
      <w:keepNext/>
      <w:keepLines/>
      <w:widowControl/>
      <w:spacing w:before="340" w:after="330" w:line="576" w:lineRule="auto"/>
      <w:jc w:val="left"/>
      <w:outlineLvl w:val="0"/>
    </w:pPr>
    <w:rPr>
      <w:rFonts w:ascii="Times New Roman" w:hAnsi="Times New Roman" w:eastAsia="宋体" w:cs="Times New Roman"/>
      <w:b/>
      <w:bCs/>
      <w:kern w:val="44"/>
      <w:sz w:val="44"/>
      <w:szCs w:val="44"/>
    </w:rPr>
  </w:style>
  <w:style w:type="paragraph" w:styleId="3">
    <w:name w:val="heading 2"/>
    <w:basedOn w:val="1"/>
    <w:next w:val="1"/>
    <w:autoRedefine/>
    <w:qFormat/>
    <w:uiPriority w:val="1"/>
    <w:pPr>
      <w:spacing w:line="487" w:lineRule="exact"/>
      <w:ind w:left="160"/>
      <w:outlineLvl w:val="1"/>
    </w:pPr>
    <w:rPr>
      <w:rFonts w:ascii="Microsoft JhengHei" w:hAnsi="Microsoft JhengHei" w:eastAsia="Microsoft JhengHei" w:cs="Microsoft JhengHei"/>
      <w:b/>
      <w:bCs/>
      <w:sz w:val="32"/>
      <w:szCs w:val="32"/>
      <w:lang w:val="zh-CN" w:eastAsia="zh-CN" w:bidi="zh-CN"/>
    </w:rPr>
  </w:style>
  <w:style w:type="paragraph" w:styleId="4">
    <w:name w:val="heading 3"/>
    <w:basedOn w:val="1"/>
    <w:next w:val="1"/>
    <w:autoRedefine/>
    <w:semiHidden/>
    <w:unhideWhenUsed/>
    <w:qFormat/>
    <w:uiPriority w:val="0"/>
    <w:pPr>
      <w:jc w:val="left"/>
      <w:outlineLvl w:val="2"/>
    </w:pPr>
    <w:rPr>
      <w:rFonts w:hint="eastAsia" w:ascii="宋体" w:hAnsi="宋体" w:eastAsia="宋体" w:cs="Times New Roman"/>
      <w:kern w:val="0"/>
      <w:sz w:val="24"/>
    </w:rPr>
  </w:style>
  <w:style w:type="character" w:default="1" w:styleId="12">
    <w:name w:val="Default Paragraph Font"/>
    <w:autoRedefine/>
    <w:semiHidden/>
    <w:unhideWhenUsed/>
    <w:qFormat/>
    <w:uiPriority w:val="1"/>
  </w:style>
  <w:style w:type="table" w:default="1" w:styleId="10">
    <w:name w:val="Normal Table"/>
    <w:autoRedefine/>
    <w:semiHidden/>
    <w:unhideWhenUsed/>
    <w:qFormat/>
    <w:uiPriority w:val="99"/>
    <w:tblPr>
      <w:tblCellMar>
        <w:top w:w="0" w:type="dxa"/>
        <w:left w:w="108" w:type="dxa"/>
        <w:bottom w:w="0" w:type="dxa"/>
        <w:right w:w="108" w:type="dxa"/>
      </w:tblCellMar>
    </w:tblPr>
  </w:style>
  <w:style w:type="paragraph" w:styleId="5">
    <w:name w:val="Balloon Text"/>
    <w:basedOn w:val="1"/>
    <w:link w:val="16"/>
    <w:autoRedefine/>
    <w:qFormat/>
    <w:uiPriority w:val="0"/>
    <w:rPr>
      <w:sz w:val="18"/>
      <w:szCs w:val="18"/>
    </w:rPr>
  </w:style>
  <w:style w:type="paragraph" w:styleId="6">
    <w:name w:val="footer"/>
    <w:basedOn w:val="1"/>
    <w:link w:val="15"/>
    <w:autoRedefine/>
    <w:qFormat/>
    <w:uiPriority w:val="0"/>
    <w:pPr>
      <w:tabs>
        <w:tab w:val="center" w:pos="4153"/>
        <w:tab w:val="right" w:pos="8306"/>
      </w:tabs>
      <w:snapToGrid w:val="0"/>
      <w:jc w:val="left"/>
    </w:pPr>
    <w:rPr>
      <w:sz w:val="18"/>
      <w:szCs w:val="18"/>
    </w:rPr>
  </w:style>
  <w:style w:type="paragraph" w:styleId="7">
    <w:name w:val="header"/>
    <w:basedOn w:val="1"/>
    <w:link w:val="14"/>
    <w:autoRedefine/>
    <w:qFormat/>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autoRedefine/>
    <w:qFormat/>
    <w:uiPriority w:val="0"/>
    <w:pPr>
      <w:spacing w:beforeAutospacing="1" w:afterAutospacing="1"/>
      <w:jc w:val="left"/>
    </w:pPr>
    <w:rPr>
      <w:rFonts w:cs="Times New Roman"/>
      <w:kern w:val="0"/>
      <w:sz w:val="24"/>
    </w:rPr>
  </w:style>
  <w:style w:type="paragraph" w:styleId="9">
    <w:name w:val="Title"/>
    <w:basedOn w:val="1"/>
    <w:autoRedefine/>
    <w:qFormat/>
    <w:uiPriority w:val="10"/>
    <w:pPr>
      <w:spacing w:before="240" w:after="60"/>
      <w:jc w:val="center"/>
      <w:outlineLvl w:val="0"/>
    </w:pPr>
    <w:rPr>
      <w:rFonts w:ascii="Arial" w:hAnsi="Arial"/>
      <w:b/>
      <w:bCs/>
      <w:sz w:val="32"/>
      <w:szCs w:val="32"/>
    </w:rPr>
  </w:style>
  <w:style w:type="table" w:styleId="11">
    <w:name w:val="Table Grid"/>
    <w:basedOn w:val="10"/>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autoRedefine/>
    <w:qFormat/>
    <w:uiPriority w:val="0"/>
    <w:rPr>
      <w:b/>
    </w:rPr>
  </w:style>
  <w:style w:type="character" w:customStyle="1" w:styleId="14">
    <w:name w:val="页眉 Char"/>
    <w:basedOn w:val="12"/>
    <w:link w:val="7"/>
    <w:autoRedefine/>
    <w:qFormat/>
    <w:uiPriority w:val="0"/>
    <w:rPr>
      <w:rFonts w:asciiTheme="minorHAnsi" w:hAnsiTheme="minorHAnsi" w:eastAsiaTheme="minorEastAsia" w:cstheme="minorBidi"/>
      <w:kern w:val="2"/>
      <w:sz w:val="18"/>
      <w:szCs w:val="18"/>
    </w:rPr>
  </w:style>
  <w:style w:type="character" w:customStyle="1" w:styleId="15">
    <w:name w:val="页脚 Char"/>
    <w:basedOn w:val="12"/>
    <w:link w:val="6"/>
    <w:autoRedefine/>
    <w:qFormat/>
    <w:uiPriority w:val="0"/>
    <w:rPr>
      <w:rFonts w:asciiTheme="minorHAnsi" w:hAnsiTheme="minorHAnsi" w:eastAsiaTheme="minorEastAsia" w:cstheme="minorBidi"/>
      <w:kern w:val="2"/>
      <w:sz w:val="18"/>
      <w:szCs w:val="18"/>
    </w:rPr>
  </w:style>
  <w:style w:type="character" w:customStyle="1" w:styleId="16">
    <w:name w:val="批注框文本 Char"/>
    <w:basedOn w:val="12"/>
    <w:link w:val="5"/>
    <w:autoRedefine/>
    <w:qFormat/>
    <w:uiPriority w:val="0"/>
    <w:rPr>
      <w:rFonts w:asciiTheme="minorHAnsi" w:hAnsiTheme="minorHAnsi" w:eastAsiaTheme="minorEastAsia" w:cstheme="minorBidi"/>
      <w:kern w:val="2"/>
      <w:sz w:val="18"/>
      <w:szCs w:val="18"/>
    </w:rPr>
  </w:style>
  <w:style w:type="character" w:customStyle="1" w:styleId="17">
    <w:name w:val="标题 1 Char"/>
    <w:basedOn w:val="12"/>
    <w:link w:val="2"/>
    <w:autoRedefine/>
    <w:qFormat/>
    <w:uiPriority w:val="0"/>
    <w:rPr>
      <w:b/>
      <w:bCs/>
      <w:kern w:val="44"/>
      <w:sz w:val="44"/>
      <w:szCs w:val="44"/>
    </w:rPr>
  </w:style>
  <w:style w:type="paragraph" w:customStyle="1" w:styleId="18">
    <w:name w:val="Default"/>
    <w:autoRedefine/>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styleId="19">
    <w:name w:val="List Paragraph"/>
    <w:basedOn w:val="1"/>
    <w:autoRedefine/>
    <w:unhideWhenUsed/>
    <w:qFormat/>
    <w:uiPriority w:val="99"/>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Kingsoft\wps\addons\pool\win-i386\knewfileruby_1.0.0.12\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Template>
  <Pages>4</Pages>
  <Words>1062</Words>
  <Characters>1082</Characters>
  <Lines>13</Lines>
  <Paragraphs>3</Paragraphs>
  <TotalTime>1</TotalTime>
  <ScaleCrop>false</ScaleCrop>
  <LinksUpToDate>false</LinksUpToDate>
  <CharactersWithSpaces>1083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2020-05-19T07:45:00Z</dcterms:created>
  <dc:creator>姜小姜</dc:creator>
  <cp:lastModifiedBy>壳壳</cp:lastModifiedBy>
  <cp:lastPrinted>2020-04-27T09:30:00Z</cp:lastPrinted>
  <dcterms:modified xsi:type="dcterms:W3CDTF">2026-09-24T02:33:07Z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59E465AE73124957A616F8313588890D</vt:lpwstr>
  </property>
  <property fmtid="{D5CDD505-2E9C-101B-9397-08002B2CF9AE}" pid="4" name="KSOTemplateDocerSaveRecord">
    <vt:lpwstr>eyJoZGlkIjoiMDBhNmYzY2Q5OGViYjhmMzllNDJmYTY0M2E0NzIwMDUiLCJ1c2VySWQiOiIxNzI4MDgyNjE1In0=</vt:lpwstr>
  </property>
</Properties>
</file>